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059E" w:rsidRPr="009038D4" w:rsidRDefault="00E5059E" w:rsidP="00140B00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9038D4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E5059E" w:rsidRPr="009038D4" w:rsidRDefault="00E5059E" w:rsidP="00140B00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9038D4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E5059E" w:rsidRPr="009038D4" w:rsidRDefault="00E5059E" w:rsidP="00140B00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9038D4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E5059E" w:rsidRPr="00D76213" w:rsidRDefault="00E5059E" w:rsidP="00140B00">
      <w:pPr>
        <w:pStyle w:val="NoSpacing"/>
        <w:jc w:val="center"/>
        <w:rPr>
          <w:rFonts w:ascii="Times New Roman" w:hAnsi="Times New Roman"/>
          <w:sz w:val="24"/>
          <w:szCs w:val="24"/>
        </w:rPr>
      </w:pPr>
      <w:r w:rsidRPr="00D76213">
        <w:rPr>
          <w:rFonts w:ascii="Times New Roman" w:hAnsi="Times New Roman"/>
          <w:sz w:val="24"/>
          <w:szCs w:val="24"/>
          <w:lang w:eastAsia="ru-RU"/>
        </w:rPr>
        <w:t>(ФГБОУ ВО БГМУ МИНЗДРАВА РОССИИ)</w:t>
      </w:r>
    </w:p>
    <w:p w:rsidR="00E5059E" w:rsidRDefault="00E5059E" w:rsidP="00E47762">
      <w:pPr>
        <w:ind w:left="709"/>
        <w:jc w:val="center"/>
        <w:rPr>
          <w:rFonts w:ascii="Times New Roman" w:hAnsi="Times New Roman" w:cs="Times New Roman"/>
          <w:sz w:val="24"/>
          <w:szCs w:val="24"/>
        </w:rPr>
      </w:pPr>
    </w:p>
    <w:p w:rsidR="00E5059E" w:rsidRPr="00D76213" w:rsidRDefault="00E5059E" w:rsidP="00140B00">
      <w:pPr>
        <w:pStyle w:val="NoSpacing"/>
        <w:jc w:val="center"/>
        <w:rPr>
          <w:rFonts w:ascii="Times New Roman" w:hAnsi="Times New Roman"/>
          <w:sz w:val="24"/>
          <w:szCs w:val="24"/>
        </w:rPr>
      </w:pPr>
      <w:r w:rsidRPr="00D76213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E5059E" w:rsidRDefault="00E5059E" w:rsidP="00E47762">
      <w:pPr>
        <w:ind w:left="709"/>
        <w:jc w:val="center"/>
        <w:rPr>
          <w:rFonts w:ascii="Times New Roman" w:hAnsi="Times New Roman" w:cs="Times New Roman"/>
          <w:sz w:val="24"/>
          <w:szCs w:val="24"/>
        </w:rPr>
      </w:pPr>
    </w:p>
    <w:p w:rsidR="00E5059E" w:rsidRPr="00E47762" w:rsidRDefault="00E5059E" w:rsidP="00E47762">
      <w:pPr>
        <w:ind w:left="709"/>
        <w:jc w:val="center"/>
        <w:rPr>
          <w:rFonts w:ascii="Times New Roman" w:hAnsi="Times New Roman" w:cs="Times New Roman"/>
          <w:sz w:val="24"/>
          <w:szCs w:val="24"/>
        </w:rPr>
      </w:pPr>
      <w:r w:rsidRPr="00E47762">
        <w:rPr>
          <w:rFonts w:ascii="Times New Roman" w:hAnsi="Times New Roman" w:cs="Times New Roman"/>
          <w:sz w:val="24"/>
          <w:szCs w:val="24"/>
        </w:rPr>
        <w:t>Методическая разработка лекции</w:t>
      </w:r>
    </w:p>
    <w:p w:rsidR="00E5059E" w:rsidRPr="00E47762" w:rsidRDefault="00E5059E" w:rsidP="00E47762">
      <w:pPr>
        <w:pStyle w:val="ListParagraph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E47762">
        <w:rPr>
          <w:rFonts w:ascii="Times New Roman" w:hAnsi="Times New Roman" w:cs="Times New Roman"/>
          <w:sz w:val="24"/>
          <w:szCs w:val="24"/>
        </w:rPr>
        <w:t>Название лекции: Клиническая фармаколо</w:t>
      </w:r>
      <w:r w:rsidRPr="00E47762">
        <w:rPr>
          <w:rFonts w:ascii="Times New Roman" w:hAnsi="Times New Roman" w:cs="Times New Roman"/>
          <w:sz w:val="24"/>
          <w:szCs w:val="24"/>
        </w:rPr>
        <w:softHyphen/>
        <w:t>гия противоревматиче</w:t>
      </w:r>
      <w:r w:rsidRPr="00E47762">
        <w:rPr>
          <w:rFonts w:ascii="Times New Roman" w:hAnsi="Times New Roman" w:cs="Times New Roman"/>
          <w:sz w:val="24"/>
          <w:szCs w:val="24"/>
        </w:rPr>
        <w:softHyphen/>
        <w:t>ских средств</w:t>
      </w:r>
    </w:p>
    <w:p w:rsidR="00E5059E" w:rsidRPr="00E47762" w:rsidRDefault="00E5059E" w:rsidP="00E47762">
      <w:pPr>
        <w:pStyle w:val="ListParagraph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E47762">
        <w:rPr>
          <w:rFonts w:ascii="Times New Roman" w:hAnsi="Times New Roman" w:cs="Times New Roman"/>
          <w:sz w:val="24"/>
          <w:szCs w:val="24"/>
        </w:rPr>
        <w:t>Код темы лекции по унифицированной программе: 9.1.</w:t>
      </w:r>
    </w:p>
    <w:p w:rsidR="00E5059E" w:rsidRPr="00E47762" w:rsidRDefault="00E5059E" w:rsidP="00E47762">
      <w:pPr>
        <w:pStyle w:val="ListParagraph"/>
        <w:numPr>
          <w:ilvl w:val="0"/>
          <w:numId w:val="1"/>
        </w:numPr>
        <w:spacing w:after="0" w:line="240" w:lineRule="auto"/>
        <w:ind w:left="709" w:hanging="357"/>
        <w:jc w:val="both"/>
        <w:rPr>
          <w:rFonts w:ascii="Times New Roman" w:hAnsi="Times New Roman" w:cs="Times New Roman"/>
          <w:sz w:val="24"/>
          <w:szCs w:val="24"/>
        </w:rPr>
      </w:pPr>
      <w:r w:rsidRPr="00E47762">
        <w:rPr>
          <w:rFonts w:ascii="Times New Roman" w:hAnsi="Times New Roman" w:cs="Times New Roman"/>
          <w:sz w:val="24"/>
          <w:szCs w:val="24"/>
        </w:rPr>
        <w:t xml:space="preserve">Наименование цикла: </w:t>
      </w:r>
      <w:r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Pr="005A5A27">
        <w:rPr>
          <w:rFonts w:ascii="Times New Roman" w:hAnsi="Times New Roman"/>
          <w:color w:val="000000"/>
          <w:sz w:val="24"/>
          <w:szCs w:val="24"/>
        </w:rPr>
        <w:t xml:space="preserve">по специальности </w:t>
      </w:r>
      <w:r w:rsidRPr="00E47762">
        <w:rPr>
          <w:rFonts w:ascii="Times New Roman" w:hAnsi="Times New Roman" w:cs="Times New Roman"/>
          <w:sz w:val="24"/>
          <w:szCs w:val="24"/>
        </w:rPr>
        <w:t xml:space="preserve">"РЕВМАТОЛОГИЯ"  </w:t>
      </w:r>
    </w:p>
    <w:p w:rsidR="00E5059E" w:rsidRPr="00E47762" w:rsidRDefault="00E5059E" w:rsidP="00E47762">
      <w:pPr>
        <w:pStyle w:val="ListParagraph"/>
        <w:numPr>
          <w:ilvl w:val="0"/>
          <w:numId w:val="1"/>
        </w:numPr>
        <w:spacing w:after="0" w:line="240" w:lineRule="auto"/>
        <w:ind w:left="709" w:hanging="357"/>
        <w:jc w:val="both"/>
        <w:rPr>
          <w:rFonts w:ascii="Times New Roman" w:hAnsi="Times New Roman" w:cs="Times New Roman"/>
          <w:sz w:val="24"/>
          <w:szCs w:val="24"/>
        </w:rPr>
      </w:pPr>
      <w:r w:rsidRPr="00E47762">
        <w:rPr>
          <w:rFonts w:ascii="Times New Roman" w:hAnsi="Times New Roman" w:cs="Times New Roman"/>
          <w:sz w:val="24"/>
          <w:szCs w:val="24"/>
        </w:rPr>
        <w:t>Контингент</w:t>
      </w:r>
      <w:r>
        <w:rPr>
          <w:rFonts w:ascii="Times New Roman" w:hAnsi="Times New Roman" w:cs="Times New Roman"/>
          <w:sz w:val="24"/>
          <w:szCs w:val="24"/>
        </w:rPr>
        <w:t xml:space="preserve"> обучающихся</w:t>
      </w:r>
      <w:r w:rsidRPr="00E47762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Style w:val="fontstyle01"/>
        </w:rPr>
        <w:t>Врачи, имеющие высшее профессиональное</w:t>
      </w:r>
      <w:r w:rsidRPr="00C90939">
        <w:rPr>
          <w:color w:val="000000"/>
        </w:rPr>
        <w:t xml:space="preserve"> </w:t>
      </w:r>
      <w:r>
        <w:rPr>
          <w:rStyle w:val="fontstyle01"/>
        </w:rPr>
        <w:t>образование по специальности «Лечебное дело», «Педиатрия» и послевузовское и (или)</w:t>
      </w:r>
      <w:r w:rsidRPr="00C90939">
        <w:rPr>
          <w:color w:val="000000"/>
        </w:rPr>
        <w:t xml:space="preserve"> </w:t>
      </w:r>
      <w:r>
        <w:rPr>
          <w:rStyle w:val="fontstyle01"/>
        </w:rPr>
        <w:t>дополнительное профессиональное образование и сертификат специалиста по</w:t>
      </w:r>
      <w:r w:rsidRPr="00C90939">
        <w:rPr>
          <w:color w:val="000000"/>
        </w:rPr>
        <w:t xml:space="preserve"> </w:t>
      </w:r>
      <w:r>
        <w:rPr>
          <w:rStyle w:val="fontstyle01"/>
        </w:rPr>
        <w:t>специальности «Ревматология»</w:t>
      </w:r>
      <w:r w:rsidRPr="00C90939">
        <w:rPr>
          <w:rStyle w:val="fontstyle01"/>
        </w:rPr>
        <w:t>.</w:t>
      </w:r>
      <w:r w:rsidRPr="00E47762">
        <w:rPr>
          <w:rFonts w:ascii="Times New Roman" w:hAnsi="Times New Roman" w:cs="Times New Roman"/>
          <w:sz w:val="24"/>
          <w:szCs w:val="24"/>
        </w:rPr>
        <w:t>.</w:t>
      </w:r>
    </w:p>
    <w:p w:rsidR="00E5059E" w:rsidRPr="00E47762" w:rsidRDefault="00E5059E" w:rsidP="00E47762">
      <w:pPr>
        <w:numPr>
          <w:ilvl w:val="0"/>
          <w:numId w:val="1"/>
        </w:numPr>
        <w:spacing w:after="0" w:line="240" w:lineRule="auto"/>
        <w:ind w:left="709" w:hanging="357"/>
        <w:jc w:val="both"/>
        <w:rPr>
          <w:rFonts w:ascii="Times New Roman" w:hAnsi="Times New Roman" w:cs="Times New Roman"/>
          <w:sz w:val="24"/>
          <w:szCs w:val="24"/>
        </w:rPr>
      </w:pPr>
      <w:r w:rsidRPr="00E47762">
        <w:rPr>
          <w:rFonts w:ascii="Times New Roman" w:hAnsi="Times New Roman" w:cs="Times New Roman"/>
          <w:sz w:val="24"/>
          <w:szCs w:val="24"/>
        </w:rPr>
        <w:t>Продолжительность лекции –3  часа.</w:t>
      </w:r>
    </w:p>
    <w:p w:rsidR="00E5059E" w:rsidRPr="00E47762" w:rsidRDefault="00E5059E" w:rsidP="00E47762">
      <w:pPr>
        <w:pStyle w:val="ListParagraph"/>
        <w:numPr>
          <w:ilvl w:val="0"/>
          <w:numId w:val="1"/>
        </w:numPr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E47762">
        <w:rPr>
          <w:rFonts w:ascii="Times New Roman" w:hAnsi="Times New Roman" w:cs="Times New Roman"/>
          <w:sz w:val="24"/>
          <w:szCs w:val="24"/>
        </w:rPr>
        <w:t xml:space="preserve">Цель: ознакомить </w:t>
      </w:r>
      <w:r>
        <w:rPr>
          <w:rFonts w:ascii="Times New Roman" w:hAnsi="Times New Roman" w:cs="Times New Roman"/>
          <w:sz w:val="24"/>
          <w:szCs w:val="24"/>
        </w:rPr>
        <w:t>обучающегося</w:t>
      </w:r>
      <w:r w:rsidRPr="00E47762">
        <w:rPr>
          <w:rFonts w:ascii="Times New Roman" w:hAnsi="Times New Roman" w:cs="Times New Roman"/>
          <w:sz w:val="24"/>
          <w:szCs w:val="24"/>
        </w:rPr>
        <w:t xml:space="preserve"> с клинической фармакологией противоревматических средств.</w:t>
      </w:r>
    </w:p>
    <w:p w:rsidR="00E5059E" w:rsidRPr="00E47762" w:rsidRDefault="00E5059E" w:rsidP="00E47762">
      <w:pPr>
        <w:pStyle w:val="ListParagraph"/>
        <w:numPr>
          <w:ilvl w:val="0"/>
          <w:numId w:val="1"/>
        </w:numPr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E47762">
        <w:rPr>
          <w:rFonts w:ascii="Times New Roman" w:hAnsi="Times New Roman" w:cs="Times New Roman"/>
          <w:sz w:val="24"/>
          <w:szCs w:val="24"/>
        </w:rPr>
        <w:t xml:space="preserve">В лекции освещаются следующие вопросы: Основные группы противоревматических средств. Нестероидные противовоспалительные препараты. Классификация. Механизм действия. Значение ингибиции активности циклооксигеназы-2. Селективность действия отдельных препаратов. Фармакокинетика. Взаимодействия с другими лекарственными средствами. Методы введения (оральный, парентеральный, ректальный, накожный), показания. Побочные действия, их механизм. Профилактика и лечение. Производные пропионовой кислоты. Производные фенилуксусной кислоты. Индольные производные. Производные фенилбутазона. Ацетилсалициловая кислота и ее производные. Оксикамы. Выбор оптимального нестероидного </w:t>
      </w:r>
      <w:bookmarkStart w:id="0" w:name="_GoBack"/>
      <w:r w:rsidRPr="00E47762">
        <w:rPr>
          <w:rFonts w:ascii="Times New Roman" w:hAnsi="Times New Roman" w:cs="Times New Roman"/>
          <w:sz w:val="24"/>
          <w:szCs w:val="24"/>
        </w:rPr>
        <w:t xml:space="preserve">противовоспалительного препарата у больных ревматическими заболеваниями. </w:t>
      </w:r>
      <w:bookmarkEnd w:id="0"/>
      <w:r w:rsidRPr="00E47762">
        <w:rPr>
          <w:rFonts w:ascii="Times New Roman" w:hAnsi="Times New Roman" w:cs="Times New Roman"/>
          <w:sz w:val="24"/>
          <w:szCs w:val="24"/>
        </w:rPr>
        <w:t>Глюкокортикостероиды.</w:t>
      </w:r>
      <w:r w:rsidRPr="00E4776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47762">
        <w:rPr>
          <w:rFonts w:ascii="Times New Roman" w:hAnsi="Times New Roman" w:cs="Times New Roman"/>
          <w:sz w:val="24"/>
          <w:szCs w:val="24"/>
        </w:rPr>
        <w:t xml:space="preserve">Классификация. Механизм действия. Фармакология. Фармакокинетика. Взаимодействия с другими лекарственными средствами. Глюкокортикостероиды для приема внутрь. Особенности отдельных препаратов. Выбор препарата, доза и схемы лечения при отдельных ревматических заболеваниях. Глюкокортикостероиды для локального (инъекционного) введения. Особенности отдельных препаратов. Глюкокортикостероиды для парентерального применения (пульс-терапии). Побочные эффекты глюкокортикостероидов, их профилактика и коррекция. Особенности применения у детей и подростков. Цитостатики. Классификация. Фармакология. Фармакокинетика. Взаимодействия с другими лекарственными средствами. Выбор препарата и дозы при отдельных ревматических заболеваниях. Азатиоприн. Его место в лечении ревматических заболеваний. Метотрексат. Его место в лечении ревматических заболеваний. Хлорбутин. Его место в лечении ревматических заболеваний. Циклофосфан. Его место в лечении ревматических заболеваний. Циклоспорин-А. Его место в лечении ревматических заболеваний. Особенности применения цитостатиков у детей. Побочные действия отдельных препаратов, методы профилактики и коррекции. Соли золота. Показания к применению. Побочные действия и методы их коррекции. Сульфасалазин. Показания к применению. Побочные действия и методы их коррекции. Аминохинолиновые препараты. Показания к применению. Побочные действия и методы их коррекции. Лефлюномид. Показания к применению. Побочные действия и методы их коррекции. Противоподагрические средства. Гипоурикемические препараты. Аллопуринол. Показания к применению. Побочные действия и методы их коррекции. Урикозурические препараты. Показания к применению. Побочные действия и методы их коррекции. Колхицин в лечении острого подагрического приступа. Хондропротективные и другие средства для лечения остеоартроза. Хондроитинсульфат. Препараты глюкозамина. Препараты гиалуроновой кислоты для внутрисуставного введения. Средства для лечения системного остеопороза и остеомаляции. Показания к применению отдельных препаратов. Препараты кальция. Кальцитонин. Бисфосфонаты. Витамин </w:t>
      </w:r>
      <w:r w:rsidRPr="00E47762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E47762">
        <w:rPr>
          <w:rFonts w:ascii="Times New Roman" w:hAnsi="Times New Roman" w:cs="Times New Roman"/>
          <w:sz w:val="24"/>
          <w:szCs w:val="24"/>
        </w:rPr>
        <w:t xml:space="preserve">3, его производные. Фторид натрия. Монофторфосфат. Другие препараты для лечения системного остеопороза. Препараты, влияющие на тонус периферических сосудов. Блокаторы кальциевых каналов, их применение при синдроме и болезни Рейно. Синтетические производные простациклина в лечении трофических расстройств при системной склеродермии. Генно-инженерные препараты (моноклониальные антитела, антицитокины) в терапии ревматоидного артрита и серонегативных спондилоартритов. Инфликсимаб в лечении ревматоидного артрита и серонегативных спондилоартритов. Препараты человеческого иммуноглобулина в лечении ревматических заболеваний. Антибиотики в лечении ревматических заболеваний. </w:t>
      </w:r>
    </w:p>
    <w:p w:rsidR="00E5059E" w:rsidRPr="00E47762" w:rsidRDefault="00E5059E" w:rsidP="00E47762">
      <w:pPr>
        <w:pStyle w:val="ListParagraph"/>
        <w:numPr>
          <w:ilvl w:val="0"/>
          <w:numId w:val="1"/>
        </w:numPr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E47762">
        <w:rPr>
          <w:rFonts w:ascii="Times New Roman" w:hAnsi="Times New Roman" w:cs="Times New Roman"/>
          <w:sz w:val="24"/>
          <w:szCs w:val="24"/>
        </w:rPr>
        <w:t>План лекции:</w:t>
      </w:r>
    </w:p>
    <w:p w:rsidR="00E5059E" w:rsidRPr="00E47762" w:rsidRDefault="00E5059E" w:rsidP="00E47762">
      <w:pPr>
        <w:numPr>
          <w:ilvl w:val="0"/>
          <w:numId w:val="10"/>
        </w:numPr>
        <w:spacing w:after="0" w:line="240" w:lineRule="auto"/>
        <w:ind w:left="709" w:right="-1"/>
        <w:jc w:val="both"/>
        <w:rPr>
          <w:rFonts w:ascii="Times New Roman" w:hAnsi="Times New Roman" w:cs="Times New Roman"/>
          <w:sz w:val="24"/>
          <w:szCs w:val="24"/>
        </w:rPr>
      </w:pPr>
      <w:r w:rsidRPr="00E47762">
        <w:rPr>
          <w:rFonts w:ascii="Times New Roman" w:hAnsi="Times New Roman" w:cs="Times New Roman"/>
          <w:sz w:val="24"/>
          <w:szCs w:val="24"/>
        </w:rPr>
        <w:t>Основные группы противоревматических средств</w:t>
      </w:r>
    </w:p>
    <w:p w:rsidR="00E5059E" w:rsidRPr="00E47762" w:rsidRDefault="00E5059E" w:rsidP="00E47762">
      <w:pPr>
        <w:numPr>
          <w:ilvl w:val="0"/>
          <w:numId w:val="10"/>
        </w:numPr>
        <w:spacing w:after="0" w:line="240" w:lineRule="auto"/>
        <w:ind w:left="709" w:right="-1"/>
        <w:jc w:val="both"/>
        <w:rPr>
          <w:rFonts w:ascii="Times New Roman" w:hAnsi="Times New Roman" w:cs="Times New Roman"/>
          <w:sz w:val="24"/>
          <w:szCs w:val="24"/>
        </w:rPr>
      </w:pPr>
      <w:r w:rsidRPr="00E47762">
        <w:rPr>
          <w:rFonts w:ascii="Times New Roman" w:hAnsi="Times New Roman" w:cs="Times New Roman"/>
          <w:sz w:val="24"/>
          <w:szCs w:val="24"/>
        </w:rPr>
        <w:t>Нестероидные противовоспалительные препараты</w:t>
      </w:r>
    </w:p>
    <w:p w:rsidR="00E5059E" w:rsidRPr="00E47762" w:rsidRDefault="00E5059E" w:rsidP="00E47762">
      <w:pPr>
        <w:numPr>
          <w:ilvl w:val="0"/>
          <w:numId w:val="10"/>
        </w:numPr>
        <w:spacing w:after="0" w:line="240" w:lineRule="auto"/>
        <w:ind w:left="709" w:right="-1"/>
        <w:jc w:val="both"/>
        <w:rPr>
          <w:rFonts w:ascii="Times New Roman" w:hAnsi="Times New Roman" w:cs="Times New Roman"/>
          <w:sz w:val="24"/>
          <w:szCs w:val="24"/>
        </w:rPr>
      </w:pPr>
      <w:r w:rsidRPr="00E47762">
        <w:rPr>
          <w:rFonts w:ascii="Times New Roman" w:hAnsi="Times New Roman" w:cs="Times New Roman"/>
          <w:sz w:val="24"/>
          <w:szCs w:val="24"/>
        </w:rPr>
        <w:t>Классификация</w:t>
      </w:r>
    </w:p>
    <w:p w:rsidR="00E5059E" w:rsidRPr="00E47762" w:rsidRDefault="00E5059E" w:rsidP="00E47762">
      <w:pPr>
        <w:numPr>
          <w:ilvl w:val="0"/>
          <w:numId w:val="10"/>
        </w:numPr>
        <w:spacing w:after="0" w:line="240" w:lineRule="auto"/>
        <w:ind w:left="709" w:right="-1"/>
        <w:jc w:val="both"/>
        <w:rPr>
          <w:rFonts w:ascii="Times New Roman" w:hAnsi="Times New Roman" w:cs="Times New Roman"/>
          <w:sz w:val="24"/>
          <w:szCs w:val="24"/>
        </w:rPr>
      </w:pPr>
      <w:r w:rsidRPr="00E47762">
        <w:rPr>
          <w:rFonts w:ascii="Times New Roman" w:hAnsi="Times New Roman" w:cs="Times New Roman"/>
          <w:sz w:val="24"/>
          <w:szCs w:val="24"/>
        </w:rPr>
        <w:t>Механизм действия</w:t>
      </w:r>
    </w:p>
    <w:p w:rsidR="00E5059E" w:rsidRPr="00E47762" w:rsidRDefault="00E5059E" w:rsidP="00E47762">
      <w:pPr>
        <w:numPr>
          <w:ilvl w:val="0"/>
          <w:numId w:val="10"/>
        </w:numPr>
        <w:spacing w:after="0" w:line="240" w:lineRule="auto"/>
        <w:ind w:left="709" w:right="-1"/>
        <w:jc w:val="both"/>
        <w:rPr>
          <w:rFonts w:ascii="Times New Roman" w:hAnsi="Times New Roman" w:cs="Times New Roman"/>
          <w:sz w:val="24"/>
          <w:szCs w:val="24"/>
        </w:rPr>
      </w:pPr>
      <w:r w:rsidRPr="00E47762">
        <w:rPr>
          <w:rFonts w:ascii="Times New Roman" w:hAnsi="Times New Roman" w:cs="Times New Roman"/>
          <w:sz w:val="24"/>
          <w:szCs w:val="24"/>
        </w:rPr>
        <w:t>Значение ингибиции активности циклооксигеназы-2. Селективность действия отдельных препаратов</w:t>
      </w:r>
    </w:p>
    <w:p w:rsidR="00E5059E" w:rsidRPr="00E47762" w:rsidRDefault="00E5059E" w:rsidP="00E47762">
      <w:pPr>
        <w:numPr>
          <w:ilvl w:val="0"/>
          <w:numId w:val="10"/>
        </w:numPr>
        <w:spacing w:after="0" w:line="240" w:lineRule="auto"/>
        <w:ind w:left="709" w:right="-1"/>
        <w:jc w:val="both"/>
        <w:rPr>
          <w:rFonts w:ascii="Times New Roman" w:hAnsi="Times New Roman" w:cs="Times New Roman"/>
          <w:sz w:val="24"/>
          <w:szCs w:val="24"/>
        </w:rPr>
      </w:pPr>
      <w:r w:rsidRPr="00E47762">
        <w:rPr>
          <w:rFonts w:ascii="Times New Roman" w:hAnsi="Times New Roman" w:cs="Times New Roman"/>
          <w:sz w:val="24"/>
          <w:szCs w:val="24"/>
        </w:rPr>
        <w:t>Фармакокинетика. Взаимодействия с другими лекарственными средствами</w:t>
      </w:r>
    </w:p>
    <w:p w:rsidR="00E5059E" w:rsidRPr="00E47762" w:rsidRDefault="00E5059E" w:rsidP="00E47762">
      <w:pPr>
        <w:numPr>
          <w:ilvl w:val="0"/>
          <w:numId w:val="10"/>
        </w:numPr>
        <w:spacing w:after="0" w:line="240" w:lineRule="auto"/>
        <w:ind w:left="709" w:right="-1"/>
        <w:jc w:val="both"/>
        <w:rPr>
          <w:rFonts w:ascii="Times New Roman" w:hAnsi="Times New Roman" w:cs="Times New Roman"/>
          <w:sz w:val="24"/>
          <w:szCs w:val="24"/>
        </w:rPr>
      </w:pPr>
      <w:r w:rsidRPr="00E47762">
        <w:rPr>
          <w:rFonts w:ascii="Times New Roman" w:hAnsi="Times New Roman" w:cs="Times New Roman"/>
          <w:sz w:val="24"/>
          <w:szCs w:val="24"/>
        </w:rPr>
        <w:t>Методы введения (оральный, парентеральный, ректальный, накожный), показания</w:t>
      </w:r>
    </w:p>
    <w:p w:rsidR="00E5059E" w:rsidRPr="00E47762" w:rsidRDefault="00E5059E" w:rsidP="00E47762">
      <w:pPr>
        <w:numPr>
          <w:ilvl w:val="0"/>
          <w:numId w:val="10"/>
        </w:numPr>
        <w:spacing w:after="0" w:line="240" w:lineRule="auto"/>
        <w:ind w:left="709" w:right="-1"/>
        <w:jc w:val="both"/>
        <w:rPr>
          <w:rFonts w:ascii="Times New Roman" w:hAnsi="Times New Roman" w:cs="Times New Roman"/>
          <w:sz w:val="24"/>
          <w:szCs w:val="24"/>
        </w:rPr>
      </w:pPr>
      <w:r w:rsidRPr="00E47762">
        <w:rPr>
          <w:rFonts w:ascii="Times New Roman" w:hAnsi="Times New Roman" w:cs="Times New Roman"/>
          <w:sz w:val="24"/>
          <w:szCs w:val="24"/>
        </w:rPr>
        <w:t>Побочные действия, их механизм. Профилактика и лечение</w:t>
      </w:r>
    </w:p>
    <w:p w:rsidR="00E5059E" w:rsidRPr="00E47762" w:rsidRDefault="00E5059E" w:rsidP="00E47762">
      <w:pPr>
        <w:numPr>
          <w:ilvl w:val="0"/>
          <w:numId w:val="10"/>
        </w:numPr>
        <w:spacing w:after="0" w:line="240" w:lineRule="auto"/>
        <w:ind w:left="709" w:right="-1"/>
        <w:jc w:val="both"/>
        <w:rPr>
          <w:rFonts w:ascii="Times New Roman" w:hAnsi="Times New Roman" w:cs="Times New Roman"/>
          <w:sz w:val="24"/>
          <w:szCs w:val="24"/>
        </w:rPr>
      </w:pPr>
      <w:r w:rsidRPr="00E47762">
        <w:rPr>
          <w:rFonts w:ascii="Times New Roman" w:hAnsi="Times New Roman" w:cs="Times New Roman"/>
          <w:sz w:val="24"/>
          <w:szCs w:val="24"/>
        </w:rPr>
        <w:t>Производные пропионовой кислоты</w:t>
      </w:r>
    </w:p>
    <w:p w:rsidR="00E5059E" w:rsidRPr="00E47762" w:rsidRDefault="00E5059E" w:rsidP="00E47762">
      <w:pPr>
        <w:numPr>
          <w:ilvl w:val="0"/>
          <w:numId w:val="10"/>
        </w:numPr>
        <w:spacing w:after="0" w:line="240" w:lineRule="auto"/>
        <w:ind w:left="709" w:right="-1"/>
        <w:jc w:val="both"/>
        <w:rPr>
          <w:rFonts w:ascii="Times New Roman" w:hAnsi="Times New Roman" w:cs="Times New Roman"/>
          <w:sz w:val="24"/>
          <w:szCs w:val="24"/>
        </w:rPr>
      </w:pPr>
      <w:r w:rsidRPr="00E47762">
        <w:rPr>
          <w:rFonts w:ascii="Times New Roman" w:hAnsi="Times New Roman" w:cs="Times New Roman"/>
          <w:sz w:val="24"/>
          <w:szCs w:val="24"/>
        </w:rPr>
        <w:t>Производные фенилуксусной кислоты</w:t>
      </w:r>
    </w:p>
    <w:p w:rsidR="00E5059E" w:rsidRPr="00E47762" w:rsidRDefault="00E5059E" w:rsidP="00E47762">
      <w:pPr>
        <w:numPr>
          <w:ilvl w:val="0"/>
          <w:numId w:val="10"/>
        </w:numPr>
        <w:spacing w:after="0" w:line="240" w:lineRule="auto"/>
        <w:ind w:left="709" w:right="-1"/>
        <w:jc w:val="both"/>
        <w:rPr>
          <w:rFonts w:ascii="Times New Roman" w:hAnsi="Times New Roman" w:cs="Times New Roman"/>
          <w:sz w:val="24"/>
          <w:szCs w:val="24"/>
        </w:rPr>
      </w:pPr>
      <w:r w:rsidRPr="00E47762">
        <w:rPr>
          <w:rFonts w:ascii="Times New Roman" w:hAnsi="Times New Roman" w:cs="Times New Roman"/>
          <w:sz w:val="24"/>
          <w:szCs w:val="24"/>
        </w:rPr>
        <w:t>Индольные производные</w:t>
      </w:r>
    </w:p>
    <w:p w:rsidR="00E5059E" w:rsidRPr="00E47762" w:rsidRDefault="00E5059E" w:rsidP="00E47762">
      <w:pPr>
        <w:numPr>
          <w:ilvl w:val="0"/>
          <w:numId w:val="10"/>
        </w:numPr>
        <w:spacing w:after="0" w:line="240" w:lineRule="auto"/>
        <w:ind w:left="709" w:right="-1"/>
        <w:jc w:val="both"/>
        <w:rPr>
          <w:rFonts w:ascii="Times New Roman" w:hAnsi="Times New Roman" w:cs="Times New Roman"/>
          <w:sz w:val="24"/>
          <w:szCs w:val="24"/>
        </w:rPr>
      </w:pPr>
      <w:r w:rsidRPr="00E47762">
        <w:rPr>
          <w:rFonts w:ascii="Times New Roman" w:hAnsi="Times New Roman" w:cs="Times New Roman"/>
          <w:sz w:val="24"/>
          <w:szCs w:val="24"/>
        </w:rPr>
        <w:t>Производные фенилбутазона</w:t>
      </w:r>
    </w:p>
    <w:p w:rsidR="00E5059E" w:rsidRPr="00E47762" w:rsidRDefault="00E5059E" w:rsidP="00E47762">
      <w:pPr>
        <w:numPr>
          <w:ilvl w:val="0"/>
          <w:numId w:val="10"/>
        </w:numPr>
        <w:spacing w:after="0" w:line="240" w:lineRule="auto"/>
        <w:ind w:left="709" w:right="-1"/>
        <w:jc w:val="both"/>
        <w:rPr>
          <w:rFonts w:ascii="Times New Roman" w:hAnsi="Times New Roman" w:cs="Times New Roman"/>
          <w:sz w:val="24"/>
          <w:szCs w:val="24"/>
        </w:rPr>
      </w:pPr>
      <w:r w:rsidRPr="00E47762">
        <w:rPr>
          <w:rFonts w:ascii="Times New Roman" w:hAnsi="Times New Roman" w:cs="Times New Roman"/>
          <w:sz w:val="24"/>
          <w:szCs w:val="24"/>
        </w:rPr>
        <w:t>Ацетилсалициловая кислота и ее производные</w:t>
      </w:r>
    </w:p>
    <w:p w:rsidR="00E5059E" w:rsidRPr="00E47762" w:rsidRDefault="00E5059E" w:rsidP="00E47762">
      <w:pPr>
        <w:numPr>
          <w:ilvl w:val="0"/>
          <w:numId w:val="10"/>
        </w:numPr>
        <w:spacing w:after="0" w:line="240" w:lineRule="auto"/>
        <w:ind w:left="709" w:right="-1"/>
        <w:jc w:val="both"/>
        <w:rPr>
          <w:rFonts w:ascii="Times New Roman" w:hAnsi="Times New Roman" w:cs="Times New Roman"/>
          <w:sz w:val="24"/>
          <w:szCs w:val="24"/>
        </w:rPr>
      </w:pPr>
      <w:r w:rsidRPr="00E47762">
        <w:rPr>
          <w:rFonts w:ascii="Times New Roman" w:hAnsi="Times New Roman" w:cs="Times New Roman"/>
          <w:sz w:val="24"/>
          <w:szCs w:val="24"/>
        </w:rPr>
        <w:t>Оксикамы</w:t>
      </w:r>
    </w:p>
    <w:p w:rsidR="00E5059E" w:rsidRPr="00E47762" w:rsidRDefault="00E5059E" w:rsidP="00E47762">
      <w:pPr>
        <w:numPr>
          <w:ilvl w:val="0"/>
          <w:numId w:val="10"/>
        </w:numPr>
        <w:spacing w:after="0" w:line="240" w:lineRule="auto"/>
        <w:ind w:left="709" w:right="-1"/>
        <w:jc w:val="both"/>
        <w:rPr>
          <w:rFonts w:ascii="Times New Roman" w:hAnsi="Times New Roman" w:cs="Times New Roman"/>
          <w:sz w:val="24"/>
          <w:szCs w:val="24"/>
        </w:rPr>
      </w:pPr>
      <w:r w:rsidRPr="00E47762">
        <w:rPr>
          <w:rFonts w:ascii="Times New Roman" w:hAnsi="Times New Roman" w:cs="Times New Roman"/>
          <w:sz w:val="24"/>
          <w:szCs w:val="24"/>
        </w:rPr>
        <w:t>Выбор оптимального нестероидного противовоспалительного препарата у больных ревматическими заболеваниями</w:t>
      </w:r>
    </w:p>
    <w:p w:rsidR="00E5059E" w:rsidRPr="00E47762" w:rsidRDefault="00E5059E" w:rsidP="00E47762">
      <w:pPr>
        <w:numPr>
          <w:ilvl w:val="0"/>
          <w:numId w:val="10"/>
        </w:numPr>
        <w:spacing w:after="0" w:line="240" w:lineRule="auto"/>
        <w:ind w:left="709" w:right="-1"/>
        <w:jc w:val="both"/>
        <w:rPr>
          <w:rFonts w:ascii="Times New Roman" w:hAnsi="Times New Roman" w:cs="Times New Roman"/>
          <w:sz w:val="24"/>
          <w:szCs w:val="24"/>
        </w:rPr>
      </w:pPr>
      <w:r w:rsidRPr="00E47762">
        <w:rPr>
          <w:rFonts w:ascii="Times New Roman" w:hAnsi="Times New Roman" w:cs="Times New Roman"/>
          <w:sz w:val="24"/>
          <w:szCs w:val="24"/>
        </w:rPr>
        <w:t>.Глюкокортикостероиды</w:t>
      </w:r>
    </w:p>
    <w:p w:rsidR="00E5059E" w:rsidRPr="00E47762" w:rsidRDefault="00E5059E" w:rsidP="00E47762">
      <w:pPr>
        <w:numPr>
          <w:ilvl w:val="0"/>
          <w:numId w:val="10"/>
        </w:numPr>
        <w:spacing w:after="0" w:line="240" w:lineRule="auto"/>
        <w:ind w:left="709" w:right="-1"/>
        <w:jc w:val="both"/>
        <w:rPr>
          <w:rFonts w:ascii="Times New Roman" w:hAnsi="Times New Roman" w:cs="Times New Roman"/>
          <w:sz w:val="24"/>
          <w:szCs w:val="24"/>
        </w:rPr>
      </w:pPr>
      <w:r w:rsidRPr="00E47762">
        <w:rPr>
          <w:rFonts w:ascii="Times New Roman" w:hAnsi="Times New Roman" w:cs="Times New Roman"/>
          <w:sz w:val="24"/>
          <w:szCs w:val="24"/>
        </w:rPr>
        <w:t>Классификация</w:t>
      </w:r>
    </w:p>
    <w:p w:rsidR="00E5059E" w:rsidRPr="00E47762" w:rsidRDefault="00E5059E" w:rsidP="00E47762">
      <w:pPr>
        <w:numPr>
          <w:ilvl w:val="0"/>
          <w:numId w:val="10"/>
        </w:numPr>
        <w:spacing w:after="0" w:line="240" w:lineRule="auto"/>
        <w:ind w:left="709" w:right="-1"/>
        <w:jc w:val="both"/>
        <w:rPr>
          <w:rFonts w:ascii="Times New Roman" w:hAnsi="Times New Roman" w:cs="Times New Roman"/>
          <w:sz w:val="24"/>
          <w:szCs w:val="24"/>
        </w:rPr>
      </w:pPr>
      <w:r w:rsidRPr="00E47762">
        <w:rPr>
          <w:rFonts w:ascii="Times New Roman" w:hAnsi="Times New Roman" w:cs="Times New Roman"/>
          <w:sz w:val="24"/>
          <w:szCs w:val="24"/>
        </w:rPr>
        <w:t>Механизм действия</w:t>
      </w:r>
    </w:p>
    <w:p w:rsidR="00E5059E" w:rsidRPr="00E47762" w:rsidRDefault="00E5059E" w:rsidP="00E47762">
      <w:pPr>
        <w:numPr>
          <w:ilvl w:val="0"/>
          <w:numId w:val="10"/>
        </w:numPr>
        <w:spacing w:after="0" w:line="240" w:lineRule="auto"/>
        <w:ind w:left="709" w:right="-1"/>
        <w:jc w:val="both"/>
        <w:rPr>
          <w:rFonts w:ascii="Times New Roman" w:hAnsi="Times New Roman" w:cs="Times New Roman"/>
          <w:sz w:val="24"/>
          <w:szCs w:val="24"/>
        </w:rPr>
      </w:pPr>
      <w:r w:rsidRPr="00E47762">
        <w:rPr>
          <w:rFonts w:ascii="Times New Roman" w:hAnsi="Times New Roman" w:cs="Times New Roman"/>
          <w:sz w:val="24"/>
          <w:szCs w:val="24"/>
        </w:rPr>
        <w:t>Фармакология. Фармакокинетика. Взаимодействия с другими лекарственными средствами</w:t>
      </w:r>
    </w:p>
    <w:p w:rsidR="00E5059E" w:rsidRPr="00E47762" w:rsidRDefault="00E5059E" w:rsidP="00E47762">
      <w:pPr>
        <w:numPr>
          <w:ilvl w:val="0"/>
          <w:numId w:val="10"/>
        </w:numPr>
        <w:spacing w:after="0" w:line="240" w:lineRule="auto"/>
        <w:ind w:left="709" w:right="-1"/>
        <w:jc w:val="both"/>
        <w:rPr>
          <w:rFonts w:ascii="Times New Roman" w:hAnsi="Times New Roman" w:cs="Times New Roman"/>
          <w:sz w:val="24"/>
          <w:szCs w:val="24"/>
        </w:rPr>
      </w:pPr>
      <w:r w:rsidRPr="00E47762">
        <w:rPr>
          <w:rFonts w:ascii="Times New Roman" w:hAnsi="Times New Roman" w:cs="Times New Roman"/>
          <w:sz w:val="24"/>
          <w:szCs w:val="24"/>
        </w:rPr>
        <w:t>Глюкокортикостероиды для приема внутрь. Особенности отдельных препаратов</w:t>
      </w:r>
    </w:p>
    <w:p w:rsidR="00E5059E" w:rsidRPr="00E47762" w:rsidRDefault="00E5059E" w:rsidP="00E47762">
      <w:pPr>
        <w:numPr>
          <w:ilvl w:val="0"/>
          <w:numId w:val="10"/>
        </w:numPr>
        <w:spacing w:after="0" w:line="240" w:lineRule="auto"/>
        <w:ind w:left="709" w:right="-1"/>
        <w:jc w:val="both"/>
        <w:rPr>
          <w:rFonts w:ascii="Times New Roman" w:hAnsi="Times New Roman" w:cs="Times New Roman"/>
          <w:sz w:val="24"/>
          <w:szCs w:val="24"/>
        </w:rPr>
      </w:pPr>
      <w:r w:rsidRPr="00E47762">
        <w:rPr>
          <w:rFonts w:ascii="Times New Roman" w:hAnsi="Times New Roman" w:cs="Times New Roman"/>
          <w:sz w:val="24"/>
          <w:szCs w:val="24"/>
        </w:rPr>
        <w:t>Выбор препарата, доза и схемы лечения при отдельных ревматических заболеваниях</w:t>
      </w:r>
    </w:p>
    <w:p w:rsidR="00E5059E" w:rsidRPr="00E47762" w:rsidRDefault="00E5059E" w:rsidP="00E47762">
      <w:pPr>
        <w:numPr>
          <w:ilvl w:val="0"/>
          <w:numId w:val="10"/>
        </w:numPr>
        <w:spacing w:after="0" w:line="240" w:lineRule="auto"/>
        <w:ind w:left="709" w:right="-1"/>
        <w:jc w:val="both"/>
        <w:rPr>
          <w:rFonts w:ascii="Times New Roman" w:hAnsi="Times New Roman" w:cs="Times New Roman"/>
          <w:sz w:val="24"/>
          <w:szCs w:val="24"/>
        </w:rPr>
      </w:pPr>
      <w:r w:rsidRPr="00E47762">
        <w:rPr>
          <w:rFonts w:ascii="Times New Roman" w:hAnsi="Times New Roman" w:cs="Times New Roman"/>
          <w:sz w:val="24"/>
          <w:szCs w:val="24"/>
        </w:rPr>
        <w:t>Глюкокортикостероиды для локального (инъекционного) введения. Особенности отдельных препаратов</w:t>
      </w:r>
    </w:p>
    <w:p w:rsidR="00E5059E" w:rsidRPr="00E47762" w:rsidRDefault="00E5059E" w:rsidP="00E47762">
      <w:pPr>
        <w:numPr>
          <w:ilvl w:val="0"/>
          <w:numId w:val="10"/>
        </w:numPr>
        <w:spacing w:after="0" w:line="240" w:lineRule="auto"/>
        <w:ind w:left="709" w:right="-1"/>
        <w:jc w:val="both"/>
        <w:rPr>
          <w:rFonts w:ascii="Times New Roman" w:hAnsi="Times New Roman" w:cs="Times New Roman"/>
          <w:sz w:val="24"/>
          <w:szCs w:val="24"/>
        </w:rPr>
      </w:pPr>
      <w:r w:rsidRPr="00E47762">
        <w:rPr>
          <w:rFonts w:ascii="Times New Roman" w:hAnsi="Times New Roman" w:cs="Times New Roman"/>
          <w:sz w:val="24"/>
          <w:szCs w:val="24"/>
        </w:rPr>
        <w:t>Глюкокортикостероиды для парентерального применения (пульс-терапии)</w:t>
      </w:r>
    </w:p>
    <w:p w:rsidR="00E5059E" w:rsidRPr="00E47762" w:rsidRDefault="00E5059E" w:rsidP="00E47762">
      <w:pPr>
        <w:numPr>
          <w:ilvl w:val="0"/>
          <w:numId w:val="10"/>
        </w:numPr>
        <w:spacing w:after="0" w:line="240" w:lineRule="auto"/>
        <w:ind w:left="709" w:right="-1"/>
        <w:jc w:val="both"/>
        <w:rPr>
          <w:rFonts w:ascii="Times New Roman" w:hAnsi="Times New Roman" w:cs="Times New Roman"/>
          <w:sz w:val="24"/>
          <w:szCs w:val="24"/>
        </w:rPr>
      </w:pPr>
      <w:r w:rsidRPr="00E47762">
        <w:rPr>
          <w:rFonts w:ascii="Times New Roman" w:hAnsi="Times New Roman" w:cs="Times New Roman"/>
          <w:sz w:val="24"/>
          <w:szCs w:val="24"/>
        </w:rPr>
        <w:t>Побочные эффекты глюкокортикостероидов, их профилактика и коррекция</w:t>
      </w:r>
    </w:p>
    <w:p w:rsidR="00E5059E" w:rsidRPr="00E47762" w:rsidRDefault="00E5059E" w:rsidP="00E47762">
      <w:pPr>
        <w:numPr>
          <w:ilvl w:val="0"/>
          <w:numId w:val="10"/>
        </w:numPr>
        <w:spacing w:after="0" w:line="240" w:lineRule="auto"/>
        <w:ind w:left="709" w:right="-1"/>
        <w:jc w:val="both"/>
        <w:rPr>
          <w:rFonts w:ascii="Times New Roman" w:hAnsi="Times New Roman" w:cs="Times New Roman"/>
          <w:sz w:val="24"/>
          <w:szCs w:val="24"/>
        </w:rPr>
      </w:pPr>
      <w:r w:rsidRPr="00E47762">
        <w:rPr>
          <w:rFonts w:ascii="Times New Roman" w:hAnsi="Times New Roman" w:cs="Times New Roman"/>
          <w:sz w:val="24"/>
          <w:szCs w:val="24"/>
        </w:rPr>
        <w:t>Особенности применения у детей и подростков</w:t>
      </w:r>
    </w:p>
    <w:p w:rsidR="00E5059E" w:rsidRPr="00E47762" w:rsidRDefault="00E5059E" w:rsidP="00E47762">
      <w:pPr>
        <w:numPr>
          <w:ilvl w:val="0"/>
          <w:numId w:val="10"/>
        </w:numPr>
        <w:spacing w:after="0" w:line="240" w:lineRule="auto"/>
        <w:ind w:left="709" w:right="-1"/>
        <w:jc w:val="both"/>
        <w:rPr>
          <w:rFonts w:ascii="Times New Roman" w:hAnsi="Times New Roman" w:cs="Times New Roman"/>
          <w:sz w:val="24"/>
          <w:szCs w:val="24"/>
        </w:rPr>
      </w:pPr>
      <w:r w:rsidRPr="00E47762">
        <w:rPr>
          <w:rFonts w:ascii="Times New Roman" w:hAnsi="Times New Roman" w:cs="Times New Roman"/>
          <w:sz w:val="24"/>
          <w:szCs w:val="24"/>
        </w:rPr>
        <w:t>Цитостатики</w:t>
      </w:r>
    </w:p>
    <w:p w:rsidR="00E5059E" w:rsidRPr="00E47762" w:rsidRDefault="00E5059E" w:rsidP="00E47762">
      <w:pPr>
        <w:numPr>
          <w:ilvl w:val="0"/>
          <w:numId w:val="10"/>
        </w:numPr>
        <w:spacing w:after="0" w:line="240" w:lineRule="auto"/>
        <w:ind w:left="709" w:right="-1"/>
        <w:jc w:val="both"/>
        <w:rPr>
          <w:rFonts w:ascii="Times New Roman" w:hAnsi="Times New Roman" w:cs="Times New Roman"/>
          <w:sz w:val="24"/>
          <w:szCs w:val="24"/>
        </w:rPr>
      </w:pPr>
      <w:r w:rsidRPr="00E47762">
        <w:rPr>
          <w:rFonts w:ascii="Times New Roman" w:hAnsi="Times New Roman" w:cs="Times New Roman"/>
          <w:sz w:val="24"/>
          <w:szCs w:val="24"/>
        </w:rPr>
        <w:t>Классификация</w:t>
      </w:r>
    </w:p>
    <w:p w:rsidR="00E5059E" w:rsidRPr="00E47762" w:rsidRDefault="00E5059E" w:rsidP="00E47762">
      <w:pPr>
        <w:numPr>
          <w:ilvl w:val="0"/>
          <w:numId w:val="10"/>
        </w:numPr>
        <w:spacing w:after="0" w:line="240" w:lineRule="auto"/>
        <w:ind w:left="709" w:right="-1"/>
        <w:jc w:val="both"/>
        <w:rPr>
          <w:rFonts w:ascii="Times New Roman" w:hAnsi="Times New Roman" w:cs="Times New Roman"/>
          <w:sz w:val="24"/>
          <w:szCs w:val="24"/>
        </w:rPr>
      </w:pPr>
      <w:r w:rsidRPr="00E47762">
        <w:rPr>
          <w:rFonts w:ascii="Times New Roman" w:hAnsi="Times New Roman" w:cs="Times New Roman"/>
          <w:sz w:val="24"/>
          <w:szCs w:val="24"/>
        </w:rPr>
        <w:t>Фармакология. Фармакокинетика. Взаимодействия с другими лекарственными средствами</w:t>
      </w:r>
    </w:p>
    <w:p w:rsidR="00E5059E" w:rsidRPr="00E47762" w:rsidRDefault="00E5059E" w:rsidP="00E47762">
      <w:pPr>
        <w:numPr>
          <w:ilvl w:val="0"/>
          <w:numId w:val="10"/>
        </w:numPr>
        <w:spacing w:after="0" w:line="240" w:lineRule="auto"/>
        <w:ind w:left="709" w:right="-1"/>
        <w:jc w:val="both"/>
        <w:rPr>
          <w:rFonts w:ascii="Times New Roman" w:hAnsi="Times New Roman" w:cs="Times New Roman"/>
          <w:sz w:val="24"/>
          <w:szCs w:val="24"/>
        </w:rPr>
      </w:pPr>
      <w:r w:rsidRPr="00E47762">
        <w:rPr>
          <w:rFonts w:ascii="Times New Roman" w:hAnsi="Times New Roman" w:cs="Times New Roman"/>
          <w:sz w:val="24"/>
          <w:szCs w:val="24"/>
        </w:rPr>
        <w:t>Выбор препарата и дозы при отдельных ревматических заболеваниях</w:t>
      </w:r>
    </w:p>
    <w:p w:rsidR="00E5059E" w:rsidRPr="00E47762" w:rsidRDefault="00E5059E" w:rsidP="00E47762">
      <w:pPr>
        <w:numPr>
          <w:ilvl w:val="0"/>
          <w:numId w:val="10"/>
        </w:numPr>
        <w:spacing w:after="0" w:line="240" w:lineRule="auto"/>
        <w:ind w:left="709" w:right="-1"/>
        <w:jc w:val="both"/>
        <w:rPr>
          <w:rFonts w:ascii="Times New Roman" w:hAnsi="Times New Roman" w:cs="Times New Roman"/>
          <w:sz w:val="24"/>
          <w:szCs w:val="24"/>
        </w:rPr>
      </w:pPr>
      <w:r w:rsidRPr="00E47762">
        <w:rPr>
          <w:rFonts w:ascii="Times New Roman" w:hAnsi="Times New Roman" w:cs="Times New Roman"/>
          <w:sz w:val="24"/>
          <w:szCs w:val="24"/>
        </w:rPr>
        <w:t>Азатиоприн. Его место в лечении ревматических заболеваний</w:t>
      </w:r>
    </w:p>
    <w:p w:rsidR="00E5059E" w:rsidRPr="00E47762" w:rsidRDefault="00E5059E" w:rsidP="00E47762">
      <w:pPr>
        <w:numPr>
          <w:ilvl w:val="0"/>
          <w:numId w:val="10"/>
        </w:numPr>
        <w:spacing w:after="0" w:line="240" w:lineRule="auto"/>
        <w:ind w:left="709" w:right="-1"/>
        <w:jc w:val="both"/>
        <w:rPr>
          <w:rFonts w:ascii="Times New Roman" w:hAnsi="Times New Roman" w:cs="Times New Roman"/>
          <w:sz w:val="24"/>
          <w:szCs w:val="24"/>
        </w:rPr>
      </w:pPr>
      <w:r w:rsidRPr="00E47762">
        <w:rPr>
          <w:rFonts w:ascii="Times New Roman" w:hAnsi="Times New Roman" w:cs="Times New Roman"/>
          <w:sz w:val="24"/>
          <w:szCs w:val="24"/>
        </w:rPr>
        <w:t>Метотрексат. Его место в лечении ревматических заболеваний</w:t>
      </w:r>
    </w:p>
    <w:p w:rsidR="00E5059E" w:rsidRPr="00E47762" w:rsidRDefault="00E5059E" w:rsidP="00E47762">
      <w:pPr>
        <w:numPr>
          <w:ilvl w:val="0"/>
          <w:numId w:val="10"/>
        </w:numPr>
        <w:spacing w:after="0" w:line="240" w:lineRule="auto"/>
        <w:ind w:left="709" w:right="-1"/>
        <w:jc w:val="both"/>
        <w:rPr>
          <w:rFonts w:ascii="Times New Roman" w:hAnsi="Times New Roman" w:cs="Times New Roman"/>
          <w:sz w:val="24"/>
          <w:szCs w:val="24"/>
        </w:rPr>
      </w:pPr>
      <w:r w:rsidRPr="00E47762">
        <w:rPr>
          <w:rFonts w:ascii="Times New Roman" w:hAnsi="Times New Roman" w:cs="Times New Roman"/>
          <w:sz w:val="24"/>
          <w:szCs w:val="24"/>
        </w:rPr>
        <w:t>Хлорбутин. Его место в лечении ревматических заболеваний</w:t>
      </w:r>
    </w:p>
    <w:p w:rsidR="00E5059E" w:rsidRPr="00E47762" w:rsidRDefault="00E5059E" w:rsidP="00E47762">
      <w:pPr>
        <w:numPr>
          <w:ilvl w:val="0"/>
          <w:numId w:val="10"/>
        </w:numPr>
        <w:spacing w:after="0" w:line="240" w:lineRule="auto"/>
        <w:ind w:left="709" w:right="-1"/>
        <w:jc w:val="both"/>
        <w:rPr>
          <w:rFonts w:ascii="Times New Roman" w:hAnsi="Times New Roman" w:cs="Times New Roman"/>
          <w:sz w:val="24"/>
          <w:szCs w:val="24"/>
        </w:rPr>
      </w:pPr>
      <w:r w:rsidRPr="00E47762">
        <w:rPr>
          <w:rFonts w:ascii="Times New Roman" w:hAnsi="Times New Roman" w:cs="Times New Roman"/>
          <w:sz w:val="24"/>
          <w:szCs w:val="24"/>
        </w:rPr>
        <w:t>Циклофосфан. Его место в лечении ревматических заболеваний</w:t>
      </w:r>
    </w:p>
    <w:p w:rsidR="00E5059E" w:rsidRPr="00E47762" w:rsidRDefault="00E5059E" w:rsidP="00E47762">
      <w:pPr>
        <w:numPr>
          <w:ilvl w:val="0"/>
          <w:numId w:val="10"/>
        </w:numPr>
        <w:spacing w:after="0" w:line="240" w:lineRule="auto"/>
        <w:ind w:left="709" w:right="-1"/>
        <w:jc w:val="both"/>
        <w:rPr>
          <w:rFonts w:ascii="Times New Roman" w:hAnsi="Times New Roman" w:cs="Times New Roman"/>
          <w:sz w:val="24"/>
          <w:szCs w:val="24"/>
        </w:rPr>
      </w:pPr>
      <w:r w:rsidRPr="00E47762">
        <w:rPr>
          <w:rFonts w:ascii="Times New Roman" w:hAnsi="Times New Roman" w:cs="Times New Roman"/>
          <w:sz w:val="24"/>
          <w:szCs w:val="24"/>
        </w:rPr>
        <w:t>Циклоспорин-А. Его место в лечении ревматических заболеваний</w:t>
      </w:r>
    </w:p>
    <w:p w:rsidR="00E5059E" w:rsidRPr="00E47762" w:rsidRDefault="00E5059E" w:rsidP="00E47762">
      <w:pPr>
        <w:numPr>
          <w:ilvl w:val="0"/>
          <w:numId w:val="10"/>
        </w:numPr>
        <w:spacing w:after="0" w:line="240" w:lineRule="auto"/>
        <w:ind w:left="709" w:right="-1"/>
        <w:jc w:val="both"/>
        <w:rPr>
          <w:rFonts w:ascii="Times New Roman" w:hAnsi="Times New Roman" w:cs="Times New Roman"/>
          <w:sz w:val="24"/>
          <w:szCs w:val="24"/>
        </w:rPr>
      </w:pPr>
      <w:r w:rsidRPr="00E47762">
        <w:rPr>
          <w:rFonts w:ascii="Times New Roman" w:hAnsi="Times New Roman" w:cs="Times New Roman"/>
          <w:sz w:val="24"/>
          <w:szCs w:val="24"/>
        </w:rPr>
        <w:t>Особенности применения цитостатиков у детей</w:t>
      </w:r>
    </w:p>
    <w:p w:rsidR="00E5059E" w:rsidRPr="00E47762" w:rsidRDefault="00E5059E" w:rsidP="00E47762">
      <w:pPr>
        <w:numPr>
          <w:ilvl w:val="0"/>
          <w:numId w:val="10"/>
        </w:numPr>
        <w:spacing w:after="0" w:line="240" w:lineRule="auto"/>
        <w:ind w:left="709" w:right="-1"/>
        <w:jc w:val="both"/>
        <w:rPr>
          <w:rFonts w:ascii="Times New Roman" w:hAnsi="Times New Roman" w:cs="Times New Roman"/>
          <w:sz w:val="24"/>
          <w:szCs w:val="24"/>
        </w:rPr>
      </w:pPr>
      <w:r w:rsidRPr="00E47762">
        <w:rPr>
          <w:rFonts w:ascii="Times New Roman" w:hAnsi="Times New Roman" w:cs="Times New Roman"/>
          <w:sz w:val="24"/>
          <w:szCs w:val="24"/>
        </w:rPr>
        <w:t>Побочные действия отдельных препаратов, методы профилактики и коррекции</w:t>
      </w:r>
    </w:p>
    <w:p w:rsidR="00E5059E" w:rsidRPr="00E47762" w:rsidRDefault="00E5059E" w:rsidP="00E47762">
      <w:pPr>
        <w:numPr>
          <w:ilvl w:val="0"/>
          <w:numId w:val="10"/>
        </w:numPr>
        <w:spacing w:after="0" w:line="240" w:lineRule="auto"/>
        <w:ind w:left="709" w:right="-1"/>
        <w:jc w:val="both"/>
        <w:rPr>
          <w:rFonts w:ascii="Times New Roman" w:hAnsi="Times New Roman" w:cs="Times New Roman"/>
          <w:sz w:val="24"/>
          <w:szCs w:val="24"/>
        </w:rPr>
      </w:pPr>
      <w:r w:rsidRPr="00E47762">
        <w:rPr>
          <w:rFonts w:ascii="Times New Roman" w:hAnsi="Times New Roman" w:cs="Times New Roman"/>
          <w:sz w:val="24"/>
          <w:szCs w:val="24"/>
        </w:rPr>
        <w:t>Соли золота</w:t>
      </w:r>
    </w:p>
    <w:p w:rsidR="00E5059E" w:rsidRPr="00E47762" w:rsidRDefault="00E5059E" w:rsidP="00E47762">
      <w:pPr>
        <w:numPr>
          <w:ilvl w:val="0"/>
          <w:numId w:val="10"/>
        </w:numPr>
        <w:spacing w:after="0" w:line="240" w:lineRule="auto"/>
        <w:ind w:left="709" w:right="-1"/>
        <w:jc w:val="both"/>
        <w:rPr>
          <w:rFonts w:ascii="Times New Roman" w:hAnsi="Times New Roman" w:cs="Times New Roman"/>
          <w:sz w:val="24"/>
          <w:szCs w:val="24"/>
        </w:rPr>
      </w:pPr>
      <w:r w:rsidRPr="00E47762">
        <w:rPr>
          <w:rFonts w:ascii="Times New Roman" w:hAnsi="Times New Roman" w:cs="Times New Roman"/>
          <w:sz w:val="24"/>
          <w:szCs w:val="24"/>
        </w:rPr>
        <w:t>Показания к применению</w:t>
      </w:r>
    </w:p>
    <w:p w:rsidR="00E5059E" w:rsidRPr="00E47762" w:rsidRDefault="00E5059E" w:rsidP="00E47762">
      <w:pPr>
        <w:numPr>
          <w:ilvl w:val="0"/>
          <w:numId w:val="10"/>
        </w:numPr>
        <w:spacing w:after="0" w:line="240" w:lineRule="auto"/>
        <w:ind w:left="709" w:right="-1"/>
        <w:jc w:val="both"/>
        <w:rPr>
          <w:rFonts w:ascii="Times New Roman" w:hAnsi="Times New Roman" w:cs="Times New Roman"/>
          <w:sz w:val="24"/>
          <w:szCs w:val="24"/>
        </w:rPr>
      </w:pPr>
      <w:r w:rsidRPr="00E47762">
        <w:rPr>
          <w:rFonts w:ascii="Times New Roman" w:hAnsi="Times New Roman" w:cs="Times New Roman"/>
          <w:sz w:val="24"/>
          <w:szCs w:val="24"/>
        </w:rPr>
        <w:t>Побочные действия и методы их коррекции</w:t>
      </w:r>
    </w:p>
    <w:p w:rsidR="00E5059E" w:rsidRPr="00E47762" w:rsidRDefault="00E5059E" w:rsidP="00E47762">
      <w:pPr>
        <w:numPr>
          <w:ilvl w:val="0"/>
          <w:numId w:val="10"/>
        </w:numPr>
        <w:spacing w:after="0" w:line="240" w:lineRule="auto"/>
        <w:ind w:left="709" w:right="-1"/>
        <w:jc w:val="both"/>
        <w:rPr>
          <w:rFonts w:ascii="Times New Roman" w:hAnsi="Times New Roman" w:cs="Times New Roman"/>
          <w:sz w:val="24"/>
          <w:szCs w:val="24"/>
        </w:rPr>
      </w:pPr>
      <w:r w:rsidRPr="00E47762">
        <w:rPr>
          <w:rFonts w:ascii="Times New Roman" w:hAnsi="Times New Roman" w:cs="Times New Roman"/>
          <w:sz w:val="24"/>
          <w:szCs w:val="24"/>
        </w:rPr>
        <w:t xml:space="preserve">Сульфасалазин </w:t>
      </w:r>
    </w:p>
    <w:p w:rsidR="00E5059E" w:rsidRPr="00E47762" w:rsidRDefault="00E5059E" w:rsidP="00E47762">
      <w:pPr>
        <w:numPr>
          <w:ilvl w:val="0"/>
          <w:numId w:val="10"/>
        </w:numPr>
        <w:spacing w:after="0" w:line="240" w:lineRule="auto"/>
        <w:ind w:left="709" w:right="-1"/>
        <w:jc w:val="both"/>
        <w:rPr>
          <w:rFonts w:ascii="Times New Roman" w:hAnsi="Times New Roman" w:cs="Times New Roman"/>
          <w:sz w:val="24"/>
          <w:szCs w:val="24"/>
        </w:rPr>
      </w:pPr>
      <w:r w:rsidRPr="00E47762">
        <w:rPr>
          <w:rFonts w:ascii="Times New Roman" w:hAnsi="Times New Roman" w:cs="Times New Roman"/>
          <w:sz w:val="24"/>
          <w:szCs w:val="24"/>
        </w:rPr>
        <w:t>Показания к применению</w:t>
      </w:r>
    </w:p>
    <w:p w:rsidR="00E5059E" w:rsidRPr="00E47762" w:rsidRDefault="00E5059E" w:rsidP="00E47762">
      <w:pPr>
        <w:numPr>
          <w:ilvl w:val="0"/>
          <w:numId w:val="10"/>
        </w:numPr>
        <w:spacing w:after="0" w:line="240" w:lineRule="auto"/>
        <w:ind w:left="709" w:right="-1"/>
        <w:jc w:val="both"/>
        <w:rPr>
          <w:rFonts w:ascii="Times New Roman" w:hAnsi="Times New Roman" w:cs="Times New Roman"/>
          <w:sz w:val="24"/>
          <w:szCs w:val="24"/>
        </w:rPr>
      </w:pPr>
      <w:r w:rsidRPr="00E47762">
        <w:rPr>
          <w:rFonts w:ascii="Times New Roman" w:hAnsi="Times New Roman" w:cs="Times New Roman"/>
          <w:sz w:val="24"/>
          <w:szCs w:val="24"/>
        </w:rPr>
        <w:t>Побочные действия и методы их коррекции</w:t>
      </w:r>
    </w:p>
    <w:p w:rsidR="00E5059E" w:rsidRPr="00E47762" w:rsidRDefault="00E5059E" w:rsidP="00E47762">
      <w:pPr>
        <w:numPr>
          <w:ilvl w:val="0"/>
          <w:numId w:val="10"/>
        </w:numPr>
        <w:spacing w:after="0" w:line="240" w:lineRule="auto"/>
        <w:ind w:left="709" w:right="-1"/>
        <w:jc w:val="both"/>
        <w:rPr>
          <w:rFonts w:ascii="Times New Roman" w:hAnsi="Times New Roman" w:cs="Times New Roman"/>
          <w:sz w:val="24"/>
          <w:szCs w:val="24"/>
        </w:rPr>
      </w:pPr>
      <w:r w:rsidRPr="00E47762">
        <w:rPr>
          <w:rFonts w:ascii="Times New Roman" w:hAnsi="Times New Roman" w:cs="Times New Roman"/>
          <w:sz w:val="24"/>
          <w:szCs w:val="24"/>
        </w:rPr>
        <w:t>Аминохинолиновые препараты</w:t>
      </w:r>
    </w:p>
    <w:p w:rsidR="00E5059E" w:rsidRPr="00E47762" w:rsidRDefault="00E5059E" w:rsidP="00E47762">
      <w:pPr>
        <w:numPr>
          <w:ilvl w:val="0"/>
          <w:numId w:val="10"/>
        </w:numPr>
        <w:spacing w:after="0" w:line="240" w:lineRule="auto"/>
        <w:ind w:left="709" w:right="-1"/>
        <w:jc w:val="both"/>
        <w:rPr>
          <w:rFonts w:ascii="Times New Roman" w:hAnsi="Times New Roman" w:cs="Times New Roman"/>
          <w:sz w:val="24"/>
          <w:szCs w:val="24"/>
        </w:rPr>
      </w:pPr>
      <w:r w:rsidRPr="00E47762">
        <w:rPr>
          <w:rFonts w:ascii="Times New Roman" w:hAnsi="Times New Roman" w:cs="Times New Roman"/>
          <w:sz w:val="24"/>
          <w:szCs w:val="24"/>
        </w:rPr>
        <w:t>Показания к применению</w:t>
      </w:r>
    </w:p>
    <w:p w:rsidR="00E5059E" w:rsidRPr="00E47762" w:rsidRDefault="00E5059E" w:rsidP="00E47762">
      <w:pPr>
        <w:numPr>
          <w:ilvl w:val="0"/>
          <w:numId w:val="10"/>
        </w:numPr>
        <w:spacing w:after="0" w:line="240" w:lineRule="auto"/>
        <w:ind w:left="709" w:right="-1"/>
        <w:jc w:val="both"/>
        <w:rPr>
          <w:rFonts w:ascii="Times New Roman" w:hAnsi="Times New Roman" w:cs="Times New Roman"/>
          <w:sz w:val="24"/>
          <w:szCs w:val="24"/>
        </w:rPr>
      </w:pPr>
      <w:r w:rsidRPr="00E47762">
        <w:rPr>
          <w:rFonts w:ascii="Times New Roman" w:hAnsi="Times New Roman" w:cs="Times New Roman"/>
          <w:sz w:val="24"/>
          <w:szCs w:val="24"/>
        </w:rPr>
        <w:t>Побочные действия и методы их коррекции</w:t>
      </w:r>
    </w:p>
    <w:p w:rsidR="00E5059E" w:rsidRPr="00E47762" w:rsidRDefault="00E5059E" w:rsidP="00E47762">
      <w:pPr>
        <w:numPr>
          <w:ilvl w:val="0"/>
          <w:numId w:val="10"/>
        </w:numPr>
        <w:spacing w:after="0" w:line="240" w:lineRule="auto"/>
        <w:ind w:left="709" w:right="-1"/>
        <w:jc w:val="both"/>
        <w:rPr>
          <w:rFonts w:ascii="Times New Roman" w:hAnsi="Times New Roman" w:cs="Times New Roman"/>
          <w:sz w:val="24"/>
          <w:szCs w:val="24"/>
        </w:rPr>
      </w:pPr>
      <w:r w:rsidRPr="00E47762">
        <w:rPr>
          <w:rFonts w:ascii="Times New Roman" w:hAnsi="Times New Roman" w:cs="Times New Roman"/>
          <w:sz w:val="24"/>
          <w:szCs w:val="24"/>
        </w:rPr>
        <w:t xml:space="preserve">Лефлюномид </w:t>
      </w:r>
    </w:p>
    <w:p w:rsidR="00E5059E" w:rsidRPr="00E47762" w:rsidRDefault="00E5059E" w:rsidP="00E47762">
      <w:pPr>
        <w:numPr>
          <w:ilvl w:val="0"/>
          <w:numId w:val="10"/>
        </w:numPr>
        <w:spacing w:after="0" w:line="240" w:lineRule="auto"/>
        <w:ind w:left="709" w:right="-1"/>
        <w:jc w:val="both"/>
        <w:rPr>
          <w:rFonts w:ascii="Times New Roman" w:hAnsi="Times New Roman" w:cs="Times New Roman"/>
          <w:sz w:val="24"/>
          <w:szCs w:val="24"/>
        </w:rPr>
      </w:pPr>
      <w:r w:rsidRPr="00E47762">
        <w:rPr>
          <w:rFonts w:ascii="Times New Roman" w:hAnsi="Times New Roman" w:cs="Times New Roman"/>
          <w:sz w:val="24"/>
          <w:szCs w:val="24"/>
        </w:rPr>
        <w:t>Показания к применению</w:t>
      </w:r>
    </w:p>
    <w:p w:rsidR="00E5059E" w:rsidRPr="00E47762" w:rsidRDefault="00E5059E" w:rsidP="00E47762">
      <w:pPr>
        <w:numPr>
          <w:ilvl w:val="0"/>
          <w:numId w:val="10"/>
        </w:numPr>
        <w:spacing w:after="0" w:line="240" w:lineRule="auto"/>
        <w:ind w:left="709" w:right="-1"/>
        <w:jc w:val="both"/>
        <w:rPr>
          <w:rFonts w:ascii="Times New Roman" w:hAnsi="Times New Roman" w:cs="Times New Roman"/>
          <w:sz w:val="24"/>
          <w:szCs w:val="24"/>
        </w:rPr>
      </w:pPr>
      <w:r w:rsidRPr="00E47762">
        <w:rPr>
          <w:rFonts w:ascii="Times New Roman" w:hAnsi="Times New Roman" w:cs="Times New Roman"/>
          <w:sz w:val="24"/>
          <w:szCs w:val="24"/>
        </w:rPr>
        <w:t>Побочные действия и методы их коррекции</w:t>
      </w:r>
    </w:p>
    <w:p w:rsidR="00E5059E" w:rsidRPr="00E47762" w:rsidRDefault="00E5059E" w:rsidP="00E47762">
      <w:pPr>
        <w:numPr>
          <w:ilvl w:val="0"/>
          <w:numId w:val="10"/>
        </w:numPr>
        <w:spacing w:after="0" w:line="240" w:lineRule="auto"/>
        <w:ind w:left="709" w:right="-1"/>
        <w:jc w:val="both"/>
        <w:rPr>
          <w:rFonts w:ascii="Times New Roman" w:hAnsi="Times New Roman" w:cs="Times New Roman"/>
          <w:sz w:val="24"/>
          <w:szCs w:val="24"/>
        </w:rPr>
      </w:pPr>
      <w:r w:rsidRPr="00E47762">
        <w:rPr>
          <w:rFonts w:ascii="Times New Roman" w:hAnsi="Times New Roman" w:cs="Times New Roman"/>
          <w:sz w:val="24"/>
          <w:szCs w:val="24"/>
        </w:rPr>
        <w:t>Противоподагрические средства</w:t>
      </w:r>
    </w:p>
    <w:p w:rsidR="00E5059E" w:rsidRPr="00E47762" w:rsidRDefault="00E5059E" w:rsidP="00E47762">
      <w:pPr>
        <w:numPr>
          <w:ilvl w:val="0"/>
          <w:numId w:val="10"/>
        </w:numPr>
        <w:spacing w:after="0" w:line="240" w:lineRule="auto"/>
        <w:ind w:left="709" w:right="-1"/>
        <w:jc w:val="both"/>
        <w:rPr>
          <w:rFonts w:ascii="Times New Roman" w:hAnsi="Times New Roman" w:cs="Times New Roman"/>
          <w:sz w:val="24"/>
          <w:szCs w:val="24"/>
        </w:rPr>
      </w:pPr>
      <w:r w:rsidRPr="00E47762">
        <w:rPr>
          <w:rFonts w:ascii="Times New Roman" w:hAnsi="Times New Roman" w:cs="Times New Roman"/>
          <w:sz w:val="24"/>
          <w:szCs w:val="24"/>
        </w:rPr>
        <w:t xml:space="preserve">Гипоурикемические препараты. Аллопуринол </w:t>
      </w:r>
    </w:p>
    <w:p w:rsidR="00E5059E" w:rsidRPr="00E47762" w:rsidRDefault="00E5059E" w:rsidP="00E47762">
      <w:pPr>
        <w:numPr>
          <w:ilvl w:val="0"/>
          <w:numId w:val="10"/>
        </w:numPr>
        <w:spacing w:after="0" w:line="240" w:lineRule="auto"/>
        <w:ind w:left="709" w:right="-1"/>
        <w:jc w:val="both"/>
        <w:rPr>
          <w:rFonts w:ascii="Times New Roman" w:hAnsi="Times New Roman" w:cs="Times New Roman"/>
          <w:sz w:val="24"/>
          <w:szCs w:val="24"/>
        </w:rPr>
      </w:pPr>
      <w:r w:rsidRPr="00E47762">
        <w:rPr>
          <w:rFonts w:ascii="Times New Roman" w:hAnsi="Times New Roman" w:cs="Times New Roman"/>
          <w:sz w:val="24"/>
          <w:szCs w:val="24"/>
        </w:rPr>
        <w:t>оказания к применению</w:t>
      </w:r>
    </w:p>
    <w:p w:rsidR="00E5059E" w:rsidRPr="00E47762" w:rsidRDefault="00E5059E" w:rsidP="00E47762">
      <w:pPr>
        <w:numPr>
          <w:ilvl w:val="0"/>
          <w:numId w:val="10"/>
        </w:numPr>
        <w:spacing w:after="0" w:line="240" w:lineRule="auto"/>
        <w:ind w:left="709" w:right="-1"/>
        <w:jc w:val="both"/>
        <w:rPr>
          <w:rFonts w:ascii="Times New Roman" w:hAnsi="Times New Roman" w:cs="Times New Roman"/>
          <w:sz w:val="24"/>
          <w:szCs w:val="24"/>
        </w:rPr>
      </w:pPr>
      <w:r w:rsidRPr="00E47762">
        <w:rPr>
          <w:rFonts w:ascii="Times New Roman" w:hAnsi="Times New Roman" w:cs="Times New Roman"/>
          <w:sz w:val="24"/>
          <w:szCs w:val="24"/>
        </w:rPr>
        <w:t>Побочные действия и методы их коррекции</w:t>
      </w:r>
    </w:p>
    <w:p w:rsidR="00E5059E" w:rsidRPr="00E47762" w:rsidRDefault="00E5059E" w:rsidP="00E47762">
      <w:pPr>
        <w:numPr>
          <w:ilvl w:val="0"/>
          <w:numId w:val="10"/>
        </w:numPr>
        <w:spacing w:after="0" w:line="240" w:lineRule="auto"/>
        <w:ind w:left="709" w:right="-1"/>
        <w:jc w:val="both"/>
        <w:rPr>
          <w:rFonts w:ascii="Times New Roman" w:hAnsi="Times New Roman" w:cs="Times New Roman"/>
          <w:sz w:val="24"/>
          <w:szCs w:val="24"/>
        </w:rPr>
      </w:pPr>
      <w:r w:rsidRPr="00E47762">
        <w:rPr>
          <w:rFonts w:ascii="Times New Roman" w:hAnsi="Times New Roman" w:cs="Times New Roman"/>
          <w:sz w:val="24"/>
          <w:szCs w:val="24"/>
        </w:rPr>
        <w:t>Урикозурические препараты</w:t>
      </w:r>
    </w:p>
    <w:p w:rsidR="00E5059E" w:rsidRPr="00E47762" w:rsidRDefault="00E5059E" w:rsidP="00E47762">
      <w:pPr>
        <w:numPr>
          <w:ilvl w:val="0"/>
          <w:numId w:val="10"/>
        </w:numPr>
        <w:spacing w:after="0" w:line="240" w:lineRule="auto"/>
        <w:ind w:left="709" w:right="-1"/>
        <w:jc w:val="both"/>
        <w:rPr>
          <w:rFonts w:ascii="Times New Roman" w:hAnsi="Times New Roman" w:cs="Times New Roman"/>
          <w:sz w:val="24"/>
          <w:szCs w:val="24"/>
        </w:rPr>
      </w:pPr>
      <w:r w:rsidRPr="00E47762">
        <w:rPr>
          <w:rFonts w:ascii="Times New Roman" w:hAnsi="Times New Roman" w:cs="Times New Roman"/>
          <w:sz w:val="24"/>
          <w:szCs w:val="24"/>
        </w:rPr>
        <w:t>Показания к применению</w:t>
      </w:r>
    </w:p>
    <w:p w:rsidR="00E5059E" w:rsidRPr="00E47762" w:rsidRDefault="00E5059E" w:rsidP="00E47762">
      <w:pPr>
        <w:numPr>
          <w:ilvl w:val="0"/>
          <w:numId w:val="10"/>
        </w:numPr>
        <w:spacing w:after="0" w:line="240" w:lineRule="auto"/>
        <w:ind w:left="709" w:right="-1"/>
        <w:jc w:val="both"/>
        <w:rPr>
          <w:rFonts w:ascii="Times New Roman" w:hAnsi="Times New Roman" w:cs="Times New Roman"/>
          <w:sz w:val="24"/>
          <w:szCs w:val="24"/>
        </w:rPr>
      </w:pPr>
      <w:r w:rsidRPr="00E47762">
        <w:rPr>
          <w:rFonts w:ascii="Times New Roman" w:hAnsi="Times New Roman" w:cs="Times New Roman"/>
          <w:sz w:val="24"/>
          <w:szCs w:val="24"/>
        </w:rPr>
        <w:t>Побочные действия и методы их коррекции</w:t>
      </w:r>
    </w:p>
    <w:p w:rsidR="00E5059E" w:rsidRPr="00E47762" w:rsidRDefault="00E5059E" w:rsidP="00E47762">
      <w:pPr>
        <w:numPr>
          <w:ilvl w:val="0"/>
          <w:numId w:val="10"/>
        </w:numPr>
        <w:spacing w:after="0" w:line="240" w:lineRule="auto"/>
        <w:ind w:left="709" w:right="-1"/>
        <w:jc w:val="both"/>
        <w:rPr>
          <w:rFonts w:ascii="Times New Roman" w:hAnsi="Times New Roman" w:cs="Times New Roman"/>
          <w:sz w:val="24"/>
          <w:szCs w:val="24"/>
        </w:rPr>
      </w:pPr>
      <w:r w:rsidRPr="00E47762">
        <w:rPr>
          <w:rFonts w:ascii="Times New Roman" w:hAnsi="Times New Roman" w:cs="Times New Roman"/>
          <w:sz w:val="24"/>
          <w:szCs w:val="24"/>
        </w:rPr>
        <w:t>Колхицин в лечении острого подагрического приступа</w:t>
      </w:r>
    </w:p>
    <w:p w:rsidR="00E5059E" w:rsidRPr="00E47762" w:rsidRDefault="00E5059E" w:rsidP="00E47762">
      <w:pPr>
        <w:numPr>
          <w:ilvl w:val="0"/>
          <w:numId w:val="10"/>
        </w:numPr>
        <w:spacing w:after="0" w:line="240" w:lineRule="auto"/>
        <w:ind w:left="709" w:right="-1"/>
        <w:jc w:val="both"/>
        <w:rPr>
          <w:rFonts w:ascii="Times New Roman" w:hAnsi="Times New Roman" w:cs="Times New Roman"/>
          <w:sz w:val="24"/>
          <w:szCs w:val="24"/>
        </w:rPr>
      </w:pPr>
      <w:r w:rsidRPr="00E47762">
        <w:rPr>
          <w:rFonts w:ascii="Times New Roman" w:hAnsi="Times New Roman" w:cs="Times New Roman"/>
          <w:sz w:val="24"/>
          <w:szCs w:val="24"/>
        </w:rPr>
        <w:t>Хондропротективные и другие средства для лечения остеоартроза</w:t>
      </w:r>
    </w:p>
    <w:p w:rsidR="00E5059E" w:rsidRPr="00E47762" w:rsidRDefault="00E5059E" w:rsidP="00E47762">
      <w:pPr>
        <w:numPr>
          <w:ilvl w:val="0"/>
          <w:numId w:val="10"/>
        </w:numPr>
        <w:spacing w:after="0" w:line="240" w:lineRule="auto"/>
        <w:ind w:left="709" w:right="-1"/>
        <w:jc w:val="both"/>
        <w:rPr>
          <w:rFonts w:ascii="Times New Roman" w:hAnsi="Times New Roman" w:cs="Times New Roman"/>
          <w:sz w:val="24"/>
          <w:szCs w:val="24"/>
        </w:rPr>
      </w:pPr>
      <w:r w:rsidRPr="00E47762">
        <w:rPr>
          <w:rFonts w:ascii="Times New Roman" w:hAnsi="Times New Roman" w:cs="Times New Roman"/>
          <w:sz w:val="24"/>
          <w:szCs w:val="24"/>
        </w:rPr>
        <w:t>Хондроитинсульфат</w:t>
      </w:r>
    </w:p>
    <w:p w:rsidR="00E5059E" w:rsidRPr="00E47762" w:rsidRDefault="00E5059E" w:rsidP="00E47762">
      <w:pPr>
        <w:numPr>
          <w:ilvl w:val="0"/>
          <w:numId w:val="10"/>
        </w:numPr>
        <w:spacing w:after="0" w:line="240" w:lineRule="auto"/>
        <w:ind w:left="709" w:right="-1"/>
        <w:jc w:val="both"/>
        <w:rPr>
          <w:rFonts w:ascii="Times New Roman" w:hAnsi="Times New Roman" w:cs="Times New Roman"/>
          <w:sz w:val="24"/>
          <w:szCs w:val="24"/>
        </w:rPr>
      </w:pPr>
      <w:r w:rsidRPr="00E47762">
        <w:rPr>
          <w:rFonts w:ascii="Times New Roman" w:hAnsi="Times New Roman" w:cs="Times New Roman"/>
          <w:sz w:val="24"/>
          <w:szCs w:val="24"/>
        </w:rPr>
        <w:t>Препараты глюкозамина</w:t>
      </w:r>
    </w:p>
    <w:p w:rsidR="00E5059E" w:rsidRPr="00E47762" w:rsidRDefault="00E5059E" w:rsidP="00E47762">
      <w:pPr>
        <w:numPr>
          <w:ilvl w:val="0"/>
          <w:numId w:val="10"/>
        </w:numPr>
        <w:spacing w:after="0" w:line="240" w:lineRule="auto"/>
        <w:ind w:left="709" w:right="-1"/>
        <w:jc w:val="both"/>
        <w:rPr>
          <w:rFonts w:ascii="Times New Roman" w:hAnsi="Times New Roman" w:cs="Times New Roman"/>
          <w:sz w:val="24"/>
          <w:szCs w:val="24"/>
        </w:rPr>
      </w:pPr>
      <w:r w:rsidRPr="00E47762">
        <w:rPr>
          <w:rFonts w:ascii="Times New Roman" w:hAnsi="Times New Roman" w:cs="Times New Roman"/>
          <w:sz w:val="24"/>
          <w:szCs w:val="24"/>
        </w:rPr>
        <w:t xml:space="preserve">Препараты гиалуроновой кислоты для внутрисуставного введения </w:t>
      </w:r>
    </w:p>
    <w:p w:rsidR="00E5059E" w:rsidRPr="00E47762" w:rsidRDefault="00E5059E" w:rsidP="00E47762">
      <w:pPr>
        <w:numPr>
          <w:ilvl w:val="0"/>
          <w:numId w:val="10"/>
        </w:numPr>
        <w:spacing w:after="0" w:line="240" w:lineRule="auto"/>
        <w:ind w:left="709" w:right="-1"/>
        <w:jc w:val="both"/>
        <w:rPr>
          <w:rFonts w:ascii="Times New Roman" w:hAnsi="Times New Roman" w:cs="Times New Roman"/>
          <w:sz w:val="24"/>
          <w:szCs w:val="24"/>
        </w:rPr>
      </w:pPr>
      <w:r w:rsidRPr="00E47762">
        <w:rPr>
          <w:rFonts w:ascii="Times New Roman" w:hAnsi="Times New Roman" w:cs="Times New Roman"/>
          <w:sz w:val="24"/>
          <w:szCs w:val="24"/>
        </w:rPr>
        <w:t>Средства для лечения системного остеопороза и остеомаляции</w:t>
      </w:r>
    </w:p>
    <w:p w:rsidR="00E5059E" w:rsidRPr="00E47762" w:rsidRDefault="00E5059E" w:rsidP="00E47762">
      <w:pPr>
        <w:numPr>
          <w:ilvl w:val="0"/>
          <w:numId w:val="10"/>
        </w:numPr>
        <w:spacing w:after="0" w:line="240" w:lineRule="auto"/>
        <w:ind w:left="709" w:right="-1"/>
        <w:jc w:val="both"/>
        <w:rPr>
          <w:rFonts w:ascii="Times New Roman" w:hAnsi="Times New Roman" w:cs="Times New Roman"/>
          <w:sz w:val="24"/>
          <w:szCs w:val="24"/>
        </w:rPr>
      </w:pPr>
      <w:r w:rsidRPr="00E47762">
        <w:rPr>
          <w:rFonts w:ascii="Times New Roman" w:hAnsi="Times New Roman" w:cs="Times New Roman"/>
          <w:sz w:val="24"/>
          <w:szCs w:val="24"/>
        </w:rPr>
        <w:t>Показания к применению отдельных препаратов</w:t>
      </w:r>
    </w:p>
    <w:p w:rsidR="00E5059E" w:rsidRPr="00E47762" w:rsidRDefault="00E5059E" w:rsidP="00E47762">
      <w:pPr>
        <w:numPr>
          <w:ilvl w:val="0"/>
          <w:numId w:val="10"/>
        </w:numPr>
        <w:spacing w:after="0" w:line="240" w:lineRule="auto"/>
        <w:ind w:left="709" w:right="-1"/>
        <w:jc w:val="both"/>
        <w:rPr>
          <w:rFonts w:ascii="Times New Roman" w:hAnsi="Times New Roman" w:cs="Times New Roman"/>
          <w:sz w:val="24"/>
          <w:szCs w:val="24"/>
        </w:rPr>
      </w:pPr>
      <w:r w:rsidRPr="00E47762">
        <w:rPr>
          <w:rFonts w:ascii="Times New Roman" w:hAnsi="Times New Roman" w:cs="Times New Roman"/>
          <w:sz w:val="24"/>
          <w:szCs w:val="24"/>
        </w:rPr>
        <w:t>Препараты кальция</w:t>
      </w:r>
    </w:p>
    <w:p w:rsidR="00E5059E" w:rsidRPr="00E47762" w:rsidRDefault="00E5059E" w:rsidP="00E47762">
      <w:pPr>
        <w:numPr>
          <w:ilvl w:val="0"/>
          <w:numId w:val="10"/>
        </w:numPr>
        <w:spacing w:after="0" w:line="240" w:lineRule="auto"/>
        <w:ind w:left="709" w:right="-1"/>
        <w:jc w:val="both"/>
        <w:rPr>
          <w:rFonts w:ascii="Times New Roman" w:hAnsi="Times New Roman" w:cs="Times New Roman"/>
          <w:sz w:val="24"/>
          <w:szCs w:val="24"/>
        </w:rPr>
      </w:pPr>
      <w:r w:rsidRPr="00E47762">
        <w:rPr>
          <w:rFonts w:ascii="Times New Roman" w:hAnsi="Times New Roman" w:cs="Times New Roman"/>
          <w:sz w:val="24"/>
          <w:szCs w:val="24"/>
        </w:rPr>
        <w:t xml:space="preserve">Кальцитонин </w:t>
      </w:r>
    </w:p>
    <w:p w:rsidR="00E5059E" w:rsidRPr="00E47762" w:rsidRDefault="00E5059E" w:rsidP="00E47762">
      <w:pPr>
        <w:numPr>
          <w:ilvl w:val="0"/>
          <w:numId w:val="10"/>
        </w:numPr>
        <w:spacing w:after="0" w:line="240" w:lineRule="auto"/>
        <w:ind w:left="709" w:right="-1"/>
        <w:jc w:val="both"/>
        <w:rPr>
          <w:rFonts w:ascii="Times New Roman" w:hAnsi="Times New Roman" w:cs="Times New Roman"/>
          <w:sz w:val="24"/>
          <w:szCs w:val="24"/>
        </w:rPr>
      </w:pPr>
      <w:r w:rsidRPr="00E47762">
        <w:rPr>
          <w:rFonts w:ascii="Times New Roman" w:hAnsi="Times New Roman" w:cs="Times New Roman"/>
          <w:sz w:val="24"/>
          <w:szCs w:val="24"/>
        </w:rPr>
        <w:t xml:space="preserve">Бисфосфонаты </w:t>
      </w:r>
    </w:p>
    <w:p w:rsidR="00E5059E" w:rsidRPr="00E47762" w:rsidRDefault="00E5059E" w:rsidP="00E47762">
      <w:pPr>
        <w:numPr>
          <w:ilvl w:val="0"/>
          <w:numId w:val="10"/>
        </w:numPr>
        <w:spacing w:after="0" w:line="240" w:lineRule="auto"/>
        <w:ind w:left="709" w:right="-1"/>
        <w:jc w:val="both"/>
        <w:rPr>
          <w:rFonts w:ascii="Times New Roman" w:hAnsi="Times New Roman" w:cs="Times New Roman"/>
          <w:sz w:val="24"/>
          <w:szCs w:val="24"/>
        </w:rPr>
      </w:pPr>
      <w:r w:rsidRPr="00E47762">
        <w:rPr>
          <w:rFonts w:ascii="Times New Roman" w:hAnsi="Times New Roman" w:cs="Times New Roman"/>
          <w:sz w:val="24"/>
          <w:szCs w:val="24"/>
        </w:rPr>
        <w:t>Витамин D3, его производные</w:t>
      </w:r>
    </w:p>
    <w:p w:rsidR="00E5059E" w:rsidRPr="00E47762" w:rsidRDefault="00E5059E" w:rsidP="00E47762">
      <w:pPr>
        <w:numPr>
          <w:ilvl w:val="0"/>
          <w:numId w:val="10"/>
        </w:numPr>
        <w:spacing w:after="0" w:line="240" w:lineRule="auto"/>
        <w:ind w:left="709" w:right="-1"/>
        <w:jc w:val="both"/>
        <w:rPr>
          <w:rFonts w:ascii="Times New Roman" w:hAnsi="Times New Roman" w:cs="Times New Roman"/>
          <w:sz w:val="24"/>
          <w:szCs w:val="24"/>
        </w:rPr>
      </w:pPr>
      <w:r w:rsidRPr="00E47762">
        <w:rPr>
          <w:rFonts w:ascii="Times New Roman" w:hAnsi="Times New Roman" w:cs="Times New Roman"/>
          <w:sz w:val="24"/>
          <w:szCs w:val="24"/>
        </w:rPr>
        <w:t xml:space="preserve">Фторид натрия. Монофторфосфат </w:t>
      </w:r>
    </w:p>
    <w:p w:rsidR="00E5059E" w:rsidRPr="00E47762" w:rsidRDefault="00E5059E" w:rsidP="00E47762">
      <w:pPr>
        <w:numPr>
          <w:ilvl w:val="0"/>
          <w:numId w:val="10"/>
        </w:numPr>
        <w:spacing w:after="0" w:line="240" w:lineRule="auto"/>
        <w:ind w:left="709" w:right="-1"/>
        <w:jc w:val="both"/>
        <w:rPr>
          <w:rFonts w:ascii="Times New Roman" w:hAnsi="Times New Roman" w:cs="Times New Roman"/>
          <w:sz w:val="24"/>
          <w:szCs w:val="24"/>
        </w:rPr>
      </w:pPr>
      <w:r w:rsidRPr="00E47762">
        <w:rPr>
          <w:rFonts w:ascii="Times New Roman" w:hAnsi="Times New Roman" w:cs="Times New Roman"/>
          <w:sz w:val="24"/>
          <w:szCs w:val="24"/>
        </w:rPr>
        <w:t>Другие препараты для лечения системного остеопороза</w:t>
      </w:r>
    </w:p>
    <w:p w:rsidR="00E5059E" w:rsidRPr="00E47762" w:rsidRDefault="00E5059E" w:rsidP="00E47762">
      <w:pPr>
        <w:numPr>
          <w:ilvl w:val="0"/>
          <w:numId w:val="10"/>
        </w:numPr>
        <w:spacing w:after="0" w:line="240" w:lineRule="auto"/>
        <w:ind w:left="709" w:right="-1"/>
        <w:jc w:val="both"/>
        <w:rPr>
          <w:rFonts w:ascii="Times New Roman" w:hAnsi="Times New Roman" w:cs="Times New Roman"/>
          <w:sz w:val="24"/>
          <w:szCs w:val="24"/>
        </w:rPr>
      </w:pPr>
      <w:r w:rsidRPr="00E47762">
        <w:rPr>
          <w:rFonts w:ascii="Times New Roman" w:hAnsi="Times New Roman" w:cs="Times New Roman"/>
          <w:sz w:val="24"/>
          <w:szCs w:val="24"/>
        </w:rPr>
        <w:t>Препараты, влияющие на тонус периферических сосудов</w:t>
      </w:r>
    </w:p>
    <w:p w:rsidR="00E5059E" w:rsidRPr="00E47762" w:rsidRDefault="00E5059E" w:rsidP="00E47762">
      <w:pPr>
        <w:numPr>
          <w:ilvl w:val="0"/>
          <w:numId w:val="10"/>
        </w:numPr>
        <w:spacing w:after="0" w:line="240" w:lineRule="auto"/>
        <w:ind w:left="709" w:right="-1"/>
        <w:jc w:val="both"/>
        <w:rPr>
          <w:rFonts w:ascii="Times New Roman" w:hAnsi="Times New Roman" w:cs="Times New Roman"/>
          <w:sz w:val="24"/>
          <w:szCs w:val="24"/>
        </w:rPr>
      </w:pPr>
      <w:r w:rsidRPr="00E47762">
        <w:rPr>
          <w:rFonts w:ascii="Times New Roman" w:hAnsi="Times New Roman" w:cs="Times New Roman"/>
          <w:sz w:val="24"/>
          <w:szCs w:val="24"/>
        </w:rPr>
        <w:t>Блокаторы кальциевых каналов, их применение при синдроме и болезни Рейно</w:t>
      </w:r>
    </w:p>
    <w:p w:rsidR="00E5059E" w:rsidRPr="00E47762" w:rsidRDefault="00E5059E" w:rsidP="00E47762">
      <w:pPr>
        <w:numPr>
          <w:ilvl w:val="0"/>
          <w:numId w:val="10"/>
        </w:numPr>
        <w:spacing w:after="0" w:line="240" w:lineRule="auto"/>
        <w:ind w:left="709" w:right="-1"/>
        <w:jc w:val="both"/>
        <w:rPr>
          <w:rFonts w:ascii="Times New Roman" w:hAnsi="Times New Roman" w:cs="Times New Roman"/>
          <w:sz w:val="24"/>
          <w:szCs w:val="24"/>
        </w:rPr>
      </w:pPr>
      <w:r w:rsidRPr="00E47762">
        <w:rPr>
          <w:rFonts w:ascii="Times New Roman" w:hAnsi="Times New Roman" w:cs="Times New Roman"/>
          <w:sz w:val="24"/>
          <w:szCs w:val="24"/>
        </w:rPr>
        <w:t>Синтетические производные простациклина в лечении трофических расстройств при системной склеродермии</w:t>
      </w:r>
    </w:p>
    <w:p w:rsidR="00E5059E" w:rsidRPr="00E47762" w:rsidRDefault="00E5059E" w:rsidP="00E47762">
      <w:pPr>
        <w:numPr>
          <w:ilvl w:val="0"/>
          <w:numId w:val="10"/>
        </w:numPr>
        <w:spacing w:after="0" w:line="240" w:lineRule="auto"/>
        <w:ind w:left="709" w:right="-1"/>
        <w:jc w:val="both"/>
        <w:rPr>
          <w:rFonts w:ascii="Times New Roman" w:hAnsi="Times New Roman" w:cs="Times New Roman"/>
          <w:sz w:val="24"/>
          <w:szCs w:val="24"/>
        </w:rPr>
      </w:pPr>
      <w:r w:rsidRPr="00E47762">
        <w:rPr>
          <w:rFonts w:ascii="Times New Roman" w:hAnsi="Times New Roman" w:cs="Times New Roman"/>
          <w:sz w:val="24"/>
          <w:szCs w:val="24"/>
        </w:rPr>
        <w:t>Генно-инженерные препараты (моноклониальные антитела, антицитокины) в терапии ревматоидного артрита и серонегативных спондилоартритов</w:t>
      </w:r>
    </w:p>
    <w:p w:rsidR="00E5059E" w:rsidRPr="00E47762" w:rsidRDefault="00E5059E" w:rsidP="00E47762">
      <w:pPr>
        <w:numPr>
          <w:ilvl w:val="0"/>
          <w:numId w:val="10"/>
        </w:numPr>
        <w:spacing w:after="0" w:line="240" w:lineRule="auto"/>
        <w:ind w:left="709" w:right="-1"/>
        <w:jc w:val="both"/>
        <w:rPr>
          <w:rFonts w:ascii="Times New Roman" w:hAnsi="Times New Roman" w:cs="Times New Roman"/>
          <w:sz w:val="24"/>
          <w:szCs w:val="24"/>
        </w:rPr>
      </w:pPr>
      <w:r w:rsidRPr="00E47762">
        <w:rPr>
          <w:rFonts w:ascii="Times New Roman" w:hAnsi="Times New Roman" w:cs="Times New Roman"/>
          <w:sz w:val="24"/>
          <w:szCs w:val="24"/>
        </w:rPr>
        <w:t>Инфликсимаб в лечении ревматоидного артрита и серонегативных спондилоартритов</w:t>
      </w:r>
    </w:p>
    <w:p w:rsidR="00E5059E" w:rsidRPr="00E47762" w:rsidRDefault="00E5059E" w:rsidP="00E47762">
      <w:pPr>
        <w:numPr>
          <w:ilvl w:val="0"/>
          <w:numId w:val="10"/>
        </w:numPr>
        <w:spacing w:after="0" w:line="240" w:lineRule="auto"/>
        <w:ind w:left="709" w:right="-1"/>
        <w:jc w:val="both"/>
        <w:rPr>
          <w:rFonts w:ascii="Times New Roman" w:hAnsi="Times New Roman" w:cs="Times New Roman"/>
          <w:sz w:val="24"/>
          <w:szCs w:val="24"/>
        </w:rPr>
      </w:pPr>
      <w:r w:rsidRPr="00E47762">
        <w:rPr>
          <w:rFonts w:ascii="Times New Roman" w:hAnsi="Times New Roman" w:cs="Times New Roman"/>
          <w:sz w:val="24"/>
          <w:szCs w:val="24"/>
        </w:rPr>
        <w:t>Препараты человеческого иммуноглобулина в лечении ревматических заболеваний</w:t>
      </w:r>
    </w:p>
    <w:p w:rsidR="00E5059E" w:rsidRPr="00E47762" w:rsidRDefault="00E5059E" w:rsidP="00E47762">
      <w:pPr>
        <w:numPr>
          <w:ilvl w:val="0"/>
          <w:numId w:val="10"/>
        </w:numPr>
        <w:spacing w:after="0" w:line="240" w:lineRule="auto"/>
        <w:ind w:left="709" w:right="-1"/>
        <w:jc w:val="both"/>
        <w:rPr>
          <w:rFonts w:ascii="Times New Roman" w:hAnsi="Times New Roman" w:cs="Times New Roman"/>
          <w:sz w:val="24"/>
          <w:szCs w:val="24"/>
        </w:rPr>
      </w:pPr>
      <w:r w:rsidRPr="00E47762">
        <w:rPr>
          <w:rFonts w:ascii="Times New Roman" w:hAnsi="Times New Roman" w:cs="Times New Roman"/>
          <w:sz w:val="24"/>
          <w:szCs w:val="24"/>
        </w:rPr>
        <w:t xml:space="preserve">Антибиотики в лечении ревматических заболеваний  </w:t>
      </w:r>
    </w:p>
    <w:p w:rsidR="00E5059E" w:rsidRPr="00E47762" w:rsidRDefault="00E5059E" w:rsidP="00E47762">
      <w:pPr>
        <w:spacing w:after="0" w:line="240" w:lineRule="auto"/>
        <w:ind w:left="709"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E5059E" w:rsidRPr="00E47762" w:rsidRDefault="00E5059E" w:rsidP="00E47762">
      <w:pPr>
        <w:spacing w:after="0" w:line="240" w:lineRule="auto"/>
        <w:ind w:left="709" w:right="-1"/>
        <w:jc w:val="both"/>
        <w:rPr>
          <w:rFonts w:ascii="Times New Roman" w:hAnsi="Times New Roman" w:cs="Times New Roman"/>
          <w:sz w:val="24"/>
          <w:szCs w:val="24"/>
        </w:rPr>
      </w:pPr>
      <w:r w:rsidRPr="00E47762">
        <w:rPr>
          <w:rFonts w:ascii="Times New Roman" w:hAnsi="Times New Roman" w:cs="Times New Roman"/>
          <w:sz w:val="24"/>
          <w:szCs w:val="24"/>
        </w:rPr>
        <w:t>9.</w:t>
      </w:r>
      <w:r w:rsidRPr="00E47762">
        <w:rPr>
          <w:rFonts w:ascii="Times New Roman" w:hAnsi="Times New Roman" w:cs="Times New Roman"/>
          <w:sz w:val="24"/>
          <w:szCs w:val="24"/>
        </w:rPr>
        <w:tab/>
        <w:t xml:space="preserve">Иллюстрированный  материал и оснащение: таблицы, плакаты, слайды для аппарата оверхед, мультимедийные материалы видеодвойка, ноутбук, интерактивная доска </w:t>
      </w:r>
    </w:p>
    <w:p w:rsidR="00E5059E" w:rsidRPr="00E47762" w:rsidRDefault="00E5059E" w:rsidP="00E47762">
      <w:pPr>
        <w:spacing w:after="0" w:line="240" w:lineRule="auto"/>
        <w:ind w:left="709" w:right="-1558"/>
        <w:jc w:val="both"/>
        <w:rPr>
          <w:rFonts w:ascii="Times New Roman" w:hAnsi="Times New Roman" w:cs="Times New Roman"/>
          <w:sz w:val="24"/>
          <w:szCs w:val="24"/>
        </w:rPr>
      </w:pPr>
      <w:r w:rsidRPr="00E47762">
        <w:rPr>
          <w:rFonts w:ascii="Times New Roman" w:hAnsi="Times New Roman" w:cs="Times New Roman"/>
          <w:sz w:val="24"/>
          <w:szCs w:val="24"/>
        </w:rPr>
        <w:t>10.</w:t>
      </w:r>
      <w:r w:rsidRPr="00E47762">
        <w:rPr>
          <w:rFonts w:ascii="Times New Roman" w:hAnsi="Times New Roman" w:cs="Times New Roman"/>
          <w:sz w:val="24"/>
          <w:szCs w:val="24"/>
        </w:rPr>
        <w:tab/>
        <w:t>Методы контроля знаний и навыков: тестовый контроль</w:t>
      </w:r>
    </w:p>
    <w:p w:rsidR="00E5059E" w:rsidRPr="00E47762" w:rsidRDefault="00E5059E" w:rsidP="00E47762">
      <w:pPr>
        <w:spacing w:after="0" w:line="240" w:lineRule="auto"/>
        <w:ind w:left="709" w:right="-1558"/>
        <w:jc w:val="both"/>
        <w:rPr>
          <w:rFonts w:ascii="Times New Roman" w:hAnsi="Times New Roman" w:cs="Times New Roman"/>
          <w:sz w:val="24"/>
          <w:szCs w:val="24"/>
        </w:rPr>
      </w:pPr>
    </w:p>
    <w:p w:rsidR="00E5059E" w:rsidRPr="00E47762" w:rsidRDefault="00E5059E" w:rsidP="00E47762">
      <w:pPr>
        <w:spacing w:after="0" w:line="240" w:lineRule="auto"/>
        <w:ind w:left="709" w:right="-1558"/>
        <w:jc w:val="both"/>
        <w:rPr>
          <w:rFonts w:ascii="Times New Roman" w:hAnsi="Times New Roman" w:cs="Times New Roman"/>
          <w:sz w:val="24"/>
          <w:szCs w:val="24"/>
        </w:rPr>
      </w:pPr>
    </w:p>
    <w:p w:rsidR="00E5059E" w:rsidRPr="00E47762" w:rsidRDefault="00E5059E" w:rsidP="00E47762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E47762">
        <w:rPr>
          <w:rFonts w:ascii="Times New Roman" w:hAnsi="Times New Roman" w:cs="Times New Roman"/>
          <w:sz w:val="24"/>
          <w:szCs w:val="24"/>
        </w:rPr>
        <w:t xml:space="preserve">     11. Литература по теме лекции. </w:t>
      </w:r>
    </w:p>
    <w:p w:rsidR="00E5059E" w:rsidRPr="00E47762" w:rsidRDefault="00E5059E" w:rsidP="00E47762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E5059E" w:rsidRPr="00E47762" w:rsidRDefault="00E5059E" w:rsidP="00E47762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E5059E" w:rsidRPr="00E47762" w:rsidRDefault="00E5059E" w:rsidP="00E47762">
      <w:pPr>
        <w:pStyle w:val="ListParagraph"/>
        <w:numPr>
          <w:ilvl w:val="0"/>
          <w:numId w:val="5"/>
        </w:numPr>
        <w:spacing w:after="0" w:line="240" w:lineRule="auto"/>
        <w:ind w:left="709"/>
        <w:rPr>
          <w:rFonts w:ascii="Times New Roman" w:hAnsi="Times New Roman" w:cs="Times New Roman"/>
          <w:color w:val="000000"/>
          <w:sz w:val="24"/>
          <w:szCs w:val="24"/>
        </w:rPr>
      </w:pPr>
      <w:r w:rsidRPr="00E4776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Внутренн</w:t>
      </w:r>
      <w:r w:rsidRPr="00E47762">
        <w:rPr>
          <w:rFonts w:ascii="Times New Roman" w:hAnsi="Times New Roman" w:cs="Times New Roman"/>
          <w:color w:val="000000"/>
          <w:sz w:val="24"/>
          <w:szCs w:val="24"/>
        </w:rPr>
        <w:t>ие </w:t>
      </w:r>
      <w:r w:rsidRPr="00E4776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болезн</w:t>
      </w:r>
      <w:r w:rsidRPr="00E47762">
        <w:rPr>
          <w:rFonts w:ascii="Times New Roman" w:hAnsi="Times New Roman" w:cs="Times New Roman"/>
          <w:color w:val="000000"/>
          <w:sz w:val="24"/>
          <w:szCs w:val="24"/>
        </w:rPr>
        <w:t>и с основами доказательной медицины и клинической фармакологией: руководство для врачей: рек. УМО в качестве учебного пособия/ В. С. Моисеев, Ж. Д. Кобалава, С. В. Моисеев; под ред. В. С. Моисеева. - М.: Гэотар Медиа, 2008. - 832 с.</w:t>
      </w:r>
    </w:p>
    <w:p w:rsidR="00E5059E" w:rsidRPr="00E47762" w:rsidRDefault="00E5059E" w:rsidP="00E47762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709"/>
        <w:textAlignment w:val="baseline"/>
        <w:rPr>
          <w:rFonts w:ascii="Times New Roman" w:hAnsi="Times New Roman" w:cs="Times New Roman"/>
          <w:sz w:val="24"/>
          <w:szCs w:val="24"/>
        </w:rPr>
      </w:pPr>
      <w:r w:rsidRPr="00E47762">
        <w:rPr>
          <w:rFonts w:ascii="Times New Roman" w:hAnsi="Times New Roman" w:cs="Times New Roman"/>
          <w:sz w:val="24"/>
          <w:szCs w:val="24"/>
        </w:rPr>
        <w:t>Внутренние болезни с основами доказательной медицины и </w:t>
      </w:r>
      <w:r w:rsidRPr="00E47762">
        <w:rPr>
          <w:rFonts w:ascii="Times New Roman" w:hAnsi="Times New Roman" w:cs="Times New Roman"/>
          <w:sz w:val="24"/>
          <w:szCs w:val="24"/>
          <w:shd w:val="clear" w:color="auto" w:fill="FFFFFF"/>
        </w:rPr>
        <w:t>клиническ</w:t>
      </w:r>
      <w:r w:rsidRPr="00E47762">
        <w:rPr>
          <w:rFonts w:ascii="Times New Roman" w:hAnsi="Times New Roman" w:cs="Times New Roman"/>
          <w:sz w:val="24"/>
          <w:szCs w:val="24"/>
        </w:rPr>
        <w:t>ой </w:t>
      </w:r>
      <w:r w:rsidRPr="00E47762">
        <w:rPr>
          <w:rFonts w:ascii="Times New Roman" w:hAnsi="Times New Roman" w:cs="Times New Roman"/>
          <w:sz w:val="24"/>
          <w:szCs w:val="24"/>
          <w:shd w:val="clear" w:color="auto" w:fill="FFFFFF"/>
        </w:rPr>
        <w:t>фармакологи</w:t>
      </w:r>
      <w:r w:rsidRPr="00E47762">
        <w:rPr>
          <w:rFonts w:ascii="Times New Roman" w:hAnsi="Times New Roman" w:cs="Times New Roman"/>
          <w:sz w:val="24"/>
          <w:szCs w:val="24"/>
        </w:rPr>
        <w:t>ей: руководство для врачей : рек. УМО в качестве учебного пособия/ В. С. Моисеев, Ж. Д. Кобалава, С. В. Моисеев ; под ред. В. С. Моисеева. - М.: Гэотар Медиа, 2008. - 832 с.</w:t>
      </w:r>
    </w:p>
    <w:p w:rsidR="00E5059E" w:rsidRPr="00E47762" w:rsidRDefault="00E5059E" w:rsidP="00E47762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709"/>
        <w:textAlignment w:val="baseline"/>
        <w:rPr>
          <w:rFonts w:ascii="Times New Roman" w:hAnsi="Times New Roman" w:cs="Times New Roman"/>
          <w:sz w:val="24"/>
          <w:szCs w:val="24"/>
        </w:rPr>
      </w:pPr>
      <w:r w:rsidRPr="00E47762">
        <w:rPr>
          <w:rStyle w:val="apple-style-span"/>
          <w:rFonts w:ascii="Times New Roman" w:hAnsi="Times New Roman"/>
          <w:sz w:val="24"/>
          <w:szCs w:val="24"/>
        </w:rPr>
        <w:t>Клинические рекомендации.</w:t>
      </w:r>
      <w:r w:rsidRPr="00E47762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E47762">
        <w:rPr>
          <w:rStyle w:val="apple-style-span"/>
          <w:rFonts w:ascii="Times New Roman" w:hAnsi="Times New Roman"/>
          <w:sz w:val="24"/>
          <w:szCs w:val="24"/>
        </w:rPr>
        <w:t>Ревматология: учебное пособие для сист. послевузовского проф. образования врачей рек. УМО по мед. и фармац. образованию вузов России/ Ассоциация ревматологов России; под ред. Е. Л. Насонова. - 2-е изд., испр. и доп. - М.: Гэотар Медиа,</w:t>
      </w:r>
      <w:r w:rsidRPr="00E47762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E47762">
        <w:rPr>
          <w:rStyle w:val="apple-style-span"/>
          <w:rFonts w:ascii="Times New Roman" w:hAnsi="Times New Roman"/>
          <w:sz w:val="24"/>
          <w:szCs w:val="24"/>
        </w:rPr>
        <w:t>2010. - 738 с.</w:t>
      </w:r>
    </w:p>
    <w:p w:rsidR="00E5059E" w:rsidRPr="00E47762" w:rsidRDefault="00E5059E" w:rsidP="00E47762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709" w:hanging="357"/>
        <w:jc w:val="both"/>
        <w:textAlignment w:val="baseline"/>
        <w:rPr>
          <w:rStyle w:val="apple-style-span"/>
          <w:rFonts w:ascii="Times New Roman" w:hAnsi="Times New Roman"/>
          <w:sz w:val="24"/>
          <w:szCs w:val="24"/>
        </w:rPr>
      </w:pPr>
      <w:r w:rsidRPr="00E4776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47762">
        <w:rPr>
          <w:rStyle w:val="apple-style-span"/>
          <w:rFonts w:ascii="Times New Roman" w:hAnsi="Times New Roman"/>
          <w:sz w:val="24"/>
          <w:szCs w:val="24"/>
        </w:rPr>
        <w:t>Клиническая фармакология нестероидных</w:t>
      </w:r>
      <w:r w:rsidRPr="00E47762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E47762">
        <w:rPr>
          <w:rStyle w:val="apple-style-span"/>
          <w:rFonts w:ascii="Times New Roman" w:hAnsi="Times New Roman"/>
          <w:sz w:val="24"/>
          <w:szCs w:val="24"/>
        </w:rPr>
        <w:t>противовоспалительных средств: руководство/ А. В. Амелин, В. А. Волчков, В. А. Дмитриев [и др.] ; под ред. Ю. Д. Игнатова, В. Г. Кукеса, В. И. Мазурова. - М.: Гэотар Медиа,</w:t>
      </w:r>
      <w:r w:rsidRPr="00E47762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E47762">
        <w:rPr>
          <w:rStyle w:val="apple-style-span"/>
          <w:rFonts w:ascii="Times New Roman" w:hAnsi="Times New Roman"/>
          <w:sz w:val="24"/>
          <w:szCs w:val="24"/>
        </w:rPr>
        <w:t>2010. - 250 с.</w:t>
      </w:r>
    </w:p>
    <w:p w:rsidR="00E5059E" w:rsidRPr="00E47762" w:rsidRDefault="00E5059E" w:rsidP="00E47762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47762">
        <w:rPr>
          <w:rFonts w:ascii="Times New Roman" w:hAnsi="Times New Roman" w:cs="Times New Roman"/>
          <w:sz w:val="24"/>
          <w:szCs w:val="24"/>
          <w:shd w:val="clear" w:color="auto" w:fill="FFFFFF"/>
        </w:rPr>
        <w:t>Ревматология. Национальное руководство</w:t>
      </w:r>
      <w:r w:rsidRPr="00E47762">
        <w:rPr>
          <w:rFonts w:ascii="Times New Roman" w:hAnsi="Times New Roman" w:cs="Times New Roman"/>
          <w:sz w:val="24"/>
          <w:szCs w:val="24"/>
        </w:rPr>
        <w:t xml:space="preserve">: учебное пособие для сист. послевузовского проф. образования врачей рек. УМО по мед. и фармац. образованию вузов России/ Ассоциация медицинских обществ по качеству, Ассоциация ревматологов России; под ред. Е. Л. Насонова, В. А. Насоновой. - М.: Гэотар Медиа, 2008. - 720 с. </w:t>
      </w:r>
    </w:p>
    <w:p w:rsidR="00E5059E" w:rsidRPr="00E47762" w:rsidRDefault="00E5059E" w:rsidP="00E47762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709"/>
        <w:jc w:val="both"/>
        <w:textAlignment w:val="baseline"/>
        <w:rPr>
          <w:rStyle w:val="apple-converted-space"/>
          <w:rFonts w:ascii="Times New Roman" w:hAnsi="Times New Roman"/>
          <w:sz w:val="24"/>
          <w:szCs w:val="24"/>
        </w:rPr>
      </w:pPr>
      <w:r w:rsidRPr="00E47762">
        <w:rPr>
          <w:rStyle w:val="apple-style-span"/>
          <w:rFonts w:ascii="Times New Roman" w:hAnsi="Times New Roman"/>
          <w:sz w:val="24"/>
          <w:szCs w:val="24"/>
        </w:rPr>
        <w:t>Ревматология: учебное пособие для врачей в вопросах и ответах/ В. К. Казимирко, В. Н. Коваленко. - Донецк: ИД Заславский,</w:t>
      </w:r>
      <w:r w:rsidRPr="00E47762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E47762">
        <w:rPr>
          <w:rStyle w:val="apple-style-span"/>
          <w:rFonts w:ascii="Times New Roman" w:hAnsi="Times New Roman"/>
          <w:sz w:val="24"/>
          <w:szCs w:val="24"/>
        </w:rPr>
        <w:t>2009. - 618 с.</w:t>
      </w:r>
      <w:r w:rsidRPr="00E47762">
        <w:rPr>
          <w:rStyle w:val="apple-converted-space"/>
          <w:rFonts w:ascii="Times New Roman" w:hAnsi="Times New Roman"/>
          <w:sz w:val="24"/>
          <w:szCs w:val="24"/>
        </w:rPr>
        <w:t> </w:t>
      </w:r>
    </w:p>
    <w:p w:rsidR="00E5059E" w:rsidRPr="00E47762" w:rsidRDefault="00E5059E" w:rsidP="00E47762">
      <w:pPr>
        <w:pStyle w:val="ListParagraph"/>
        <w:numPr>
          <w:ilvl w:val="0"/>
          <w:numId w:val="5"/>
        </w:numPr>
        <w:spacing w:after="0" w:line="240" w:lineRule="auto"/>
        <w:ind w:left="709"/>
        <w:rPr>
          <w:rFonts w:ascii="Times New Roman" w:hAnsi="Times New Roman" w:cs="Times New Roman"/>
          <w:color w:val="000000"/>
          <w:sz w:val="24"/>
          <w:szCs w:val="24"/>
        </w:rPr>
      </w:pPr>
      <w:r w:rsidRPr="00E47762">
        <w:rPr>
          <w:rFonts w:ascii="Times New Roman" w:hAnsi="Times New Roman" w:cs="Times New Roman"/>
          <w:color w:val="000000"/>
          <w:sz w:val="24"/>
          <w:szCs w:val="24"/>
        </w:rPr>
        <w:t>Стандарты диагностики и лечения </w:t>
      </w:r>
      <w:r w:rsidRPr="00E4776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внутренн</w:t>
      </w:r>
      <w:r w:rsidRPr="00E47762">
        <w:rPr>
          <w:rFonts w:ascii="Times New Roman" w:hAnsi="Times New Roman" w:cs="Times New Roman"/>
          <w:color w:val="000000"/>
          <w:sz w:val="24"/>
          <w:szCs w:val="24"/>
        </w:rPr>
        <w:t>их </w:t>
      </w:r>
      <w:r w:rsidRPr="00E4776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болезн</w:t>
      </w:r>
      <w:r w:rsidRPr="00E47762">
        <w:rPr>
          <w:rFonts w:ascii="Times New Roman" w:hAnsi="Times New Roman" w:cs="Times New Roman"/>
          <w:color w:val="000000"/>
          <w:sz w:val="24"/>
          <w:szCs w:val="24"/>
        </w:rPr>
        <w:t>ей: научное издание/ Б. И. Шулутко, С. В.   Макаренко. - 5-е изд., перераб. и доп.. - СПб.: ООО "Медкнига ЭЛБИ-СПб": Ренкор, 2009. - 698 с. </w:t>
      </w:r>
    </w:p>
    <w:p w:rsidR="00E5059E" w:rsidRPr="00E47762" w:rsidRDefault="00E5059E" w:rsidP="00E47762">
      <w:pPr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709"/>
        <w:jc w:val="both"/>
        <w:textAlignment w:val="baseline"/>
        <w:outlineLvl w:val="0"/>
        <w:rPr>
          <w:rFonts w:ascii="Times New Roman" w:hAnsi="Times New Roman" w:cs="Times New Roman"/>
          <w:color w:val="1D1B11"/>
          <w:sz w:val="24"/>
          <w:szCs w:val="24"/>
        </w:rPr>
      </w:pPr>
      <w:r w:rsidRPr="00E47762">
        <w:rPr>
          <w:rFonts w:ascii="Times New Roman" w:hAnsi="Times New Roman" w:cs="Times New Roman"/>
          <w:sz w:val="24"/>
          <w:szCs w:val="24"/>
        </w:rPr>
        <w:t>Беляева И.Б., Мазуров В.И. Эффективность мелоксикама при ревматических заболеваниях//Фарматека-2008; 7</w:t>
      </w:r>
      <w:r w:rsidRPr="00E47762">
        <w:rPr>
          <w:rFonts w:ascii="Times New Roman" w:hAnsi="Times New Roman" w:cs="Times New Roman"/>
          <w:color w:val="1D1B11"/>
          <w:sz w:val="24"/>
          <w:szCs w:val="24"/>
        </w:rPr>
        <w:t xml:space="preserve"> </w:t>
      </w:r>
    </w:p>
    <w:p w:rsidR="00E5059E" w:rsidRPr="00E47762" w:rsidRDefault="00E5059E" w:rsidP="00E47762">
      <w:pPr>
        <w:pStyle w:val="ListParagraph"/>
        <w:numPr>
          <w:ilvl w:val="0"/>
          <w:numId w:val="5"/>
        </w:numPr>
        <w:spacing w:after="0" w:line="240" w:lineRule="auto"/>
        <w:ind w:left="709"/>
        <w:rPr>
          <w:rFonts w:ascii="Times New Roman" w:hAnsi="Times New Roman" w:cs="Times New Roman"/>
          <w:color w:val="000000"/>
          <w:sz w:val="24"/>
          <w:szCs w:val="24"/>
        </w:rPr>
      </w:pPr>
      <w:r w:rsidRPr="00E47762">
        <w:rPr>
          <w:rFonts w:ascii="Times New Roman" w:hAnsi="Times New Roman" w:cs="Times New Roman"/>
          <w:color w:val="000000"/>
          <w:sz w:val="24"/>
          <w:szCs w:val="24"/>
        </w:rPr>
        <w:t>Клиническая</w:t>
      </w:r>
      <w:r w:rsidRPr="00E47762">
        <w:rPr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r w:rsidRPr="00E47762">
        <w:rPr>
          <w:rFonts w:ascii="Times New Roman" w:hAnsi="Times New Roman" w:cs="Times New Roman"/>
          <w:color w:val="000000"/>
          <w:sz w:val="24"/>
          <w:szCs w:val="24"/>
        </w:rPr>
        <w:t>ревматология: руководство для врачей/ И. Б. Беляева [и др.] ; ред. В. И. Мазуров. - 2-е изд., перераб. и доп. - СПб.: Фолиант, 2005. - 515 с</w:t>
      </w:r>
    </w:p>
    <w:p w:rsidR="00E5059E" w:rsidRPr="00E47762" w:rsidRDefault="00E5059E" w:rsidP="00E47762">
      <w:pPr>
        <w:pStyle w:val="ListParagraph"/>
        <w:numPr>
          <w:ilvl w:val="0"/>
          <w:numId w:val="5"/>
        </w:numPr>
        <w:spacing w:after="0" w:line="240" w:lineRule="auto"/>
        <w:ind w:left="709"/>
        <w:rPr>
          <w:rStyle w:val="apple-converted-space"/>
          <w:rFonts w:ascii="Times New Roman" w:hAnsi="Times New Roman"/>
          <w:color w:val="000000"/>
          <w:sz w:val="24"/>
          <w:szCs w:val="24"/>
        </w:rPr>
      </w:pPr>
      <w:r w:rsidRPr="00E47762">
        <w:rPr>
          <w:rFonts w:ascii="Times New Roman" w:hAnsi="Times New Roman" w:cs="Times New Roman"/>
          <w:color w:val="000000"/>
          <w:sz w:val="24"/>
          <w:szCs w:val="24"/>
        </w:rPr>
        <w:t>Лечение и профилактика</w:t>
      </w:r>
      <w:r w:rsidRPr="00E47762">
        <w:rPr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r w:rsidRPr="00E47762">
        <w:rPr>
          <w:rFonts w:ascii="Times New Roman" w:hAnsi="Times New Roman" w:cs="Times New Roman"/>
          <w:color w:val="000000"/>
          <w:sz w:val="24"/>
          <w:szCs w:val="24"/>
        </w:rPr>
        <w:t>болезней суставов: научно-популярная литература/ В. И. Мазуров [и др.]. - СПб.: Диалект, 2006. - 313 с</w:t>
      </w:r>
    </w:p>
    <w:p w:rsidR="00E5059E" w:rsidRPr="00E47762" w:rsidRDefault="00E5059E" w:rsidP="00E47762">
      <w:pPr>
        <w:numPr>
          <w:ilvl w:val="0"/>
          <w:numId w:val="5"/>
        </w:numPr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ind w:left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hyperlink r:id="rId5" w:tgtFrame="_blank" w:history="1">
        <w:r w:rsidRPr="00E47762">
          <w:rPr>
            <w:rFonts w:ascii="Times New Roman" w:hAnsi="Times New Roman" w:cs="Times New Roman"/>
            <w:color w:val="000000"/>
            <w:sz w:val="24"/>
            <w:szCs w:val="24"/>
          </w:rPr>
          <w:t>Приказ Минздравсоцразвития России №315н от 4 мая 2010 г. "Об утверждении Порядка оказания медицинской помощи больным с ревматическими болезнями"</w:t>
        </w:r>
      </w:hyperlink>
    </w:p>
    <w:p w:rsidR="00E5059E" w:rsidRPr="00E47762" w:rsidRDefault="00E5059E" w:rsidP="00E47762">
      <w:pPr>
        <w:pStyle w:val="ListParagraph"/>
        <w:numPr>
          <w:ilvl w:val="0"/>
          <w:numId w:val="5"/>
        </w:numPr>
        <w:spacing w:after="0" w:line="240" w:lineRule="auto"/>
        <w:ind w:left="709"/>
        <w:rPr>
          <w:rFonts w:ascii="Times New Roman" w:hAnsi="Times New Roman" w:cs="Times New Roman"/>
          <w:color w:val="000000"/>
          <w:sz w:val="24"/>
          <w:szCs w:val="24"/>
        </w:rPr>
      </w:pPr>
      <w:r w:rsidRPr="00E47762">
        <w:rPr>
          <w:rFonts w:ascii="Times New Roman" w:hAnsi="Times New Roman" w:cs="Times New Roman"/>
          <w:sz w:val="24"/>
          <w:szCs w:val="24"/>
        </w:rPr>
        <w:t xml:space="preserve">Приказ МЗ и СР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 </w:t>
      </w:r>
    </w:p>
    <w:p w:rsidR="00E5059E" w:rsidRPr="00E47762" w:rsidRDefault="00E5059E" w:rsidP="00E47762">
      <w:pPr>
        <w:pStyle w:val="ListParagraph"/>
        <w:numPr>
          <w:ilvl w:val="0"/>
          <w:numId w:val="5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47762">
        <w:rPr>
          <w:rFonts w:ascii="Times New Roman" w:hAnsi="Times New Roman" w:cs="Times New Roman"/>
          <w:color w:val="000000"/>
          <w:sz w:val="24"/>
          <w:szCs w:val="24"/>
        </w:rPr>
        <w:t>Федеральные стандарты по оказанию медицинской помощи больным с ревматическими заболеваниями, 2004-2010 г.г.</w:t>
      </w:r>
    </w:p>
    <w:p w:rsidR="00E5059E" w:rsidRPr="00E47762" w:rsidRDefault="00E5059E" w:rsidP="00E47762">
      <w:pPr>
        <w:spacing w:after="0" w:line="240" w:lineRule="auto"/>
        <w:ind w:left="709"/>
        <w:rPr>
          <w:rStyle w:val="apple-converted-space"/>
          <w:rFonts w:ascii="Times New Roman" w:hAnsi="Times New Roman"/>
          <w:color w:val="000000"/>
          <w:sz w:val="24"/>
          <w:szCs w:val="24"/>
        </w:rPr>
      </w:pPr>
    </w:p>
    <w:p w:rsidR="00E5059E" w:rsidRPr="00E47762" w:rsidRDefault="00E5059E" w:rsidP="00140B00">
      <w:pPr>
        <w:ind w:left="708"/>
        <w:rPr>
          <w:rFonts w:ascii="Times New Roman" w:hAnsi="Times New Roman" w:cs="Times New Roman"/>
          <w:sz w:val="24"/>
          <w:szCs w:val="24"/>
        </w:rPr>
      </w:pPr>
    </w:p>
    <w:sectPr w:rsidR="00E5059E" w:rsidRPr="00E47762" w:rsidSect="00E47762">
      <w:pgSz w:w="11906" w:h="16838"/>
      <w:pgMar w:top="1134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1143C2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4947F75"/>
    <w:multiLevelType w:val="hybridMultilevel"/>
    <w:tmpl w:val="E8F8EE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D526F84"/>
    <w:multiLevelType w:val="hybridMultilevel"/>
    <w:tmpl w:val="88D49028"/>
    <w:lvl w:ilvl="0" w:tplc="B70E1FC4">
      <w:start w:val="1"/>
      <w:numFmt w:val="decimal"/>
      <w:lvlText w:val="%1."/>
      <w:lvlJc w:val="left"/>
      <w:pPr>
        <w:ind w:left="578" w:hanging="360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29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1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73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45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17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89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1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338" w:hanging="180"/>
      </w:pPr>
      <w:rPr>
        <w:rFonts w:cs="Times New Roman"/>
      </w:rPr>
    </w:lvl>
  </w:abstractNum>
  <w:abstractNum w:abstractNumId="4">
    <w:nsid w:val="43FC4C8F"/>
    <w:multiLevelType w:val="hybridMultilevel"/>
    <w:tmpl w:val="9FB45E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AD87CBD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6">
    <w:nsid w:val="4DAF7FBE"/>
    <w:multiLevelType w:val="hybridMultilevel"/>
    <w:tmpl w:val="D0C6DB74"/>
    <w:lvl w:ilvl="0" w:tplc="041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  <w:rPr>
        <w:rFonts w:cs="Times New Roman"/>
      </w:rPr>
    </w:lvl>
  </w:abstractNum>
  <w:abstractNum w:abstractNumId="7">
    <w:nsid w:val="56901483"/>
    <w:multiLevelType w:val="hybridMultilevel"/>
    <w:tmpl w:val="411EA86E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8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F075EC4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5FD598D"/>
    <w:multiLevelType w:val="hybridMultilevel"/>
    <w:tmpl w:val="8DDCAC7A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707A4EA0"/>
    <w:multiLevelType w:val="hybridMultilevel"/>
    <w:tmpl w:val="0CC8C5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7D9C2B1A"/>
    <w:multiLevelType w:val="hybridMultilevel"/>
    <w:tmpl w:val="F4085DDC"/>
    <w:lvl w:ilvl="0" w:tplc="52BA0416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b w:val="0"/>
        <w:bCs w:val="0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2"/>
  </w:num>
  <w:num w:numId="3">
    <w:abstractNumId w:val="10"/>
  </w:num>
  <w:num w:numId="4">
    <w:abstractNumId w:val="5"/>
  </w:num>
  <w:num w:numId="5">
    <w:abstractNumId w:val="12"/>
  </w:num>
  <w:num w:numId="6">
    <w:abstractNumId w:val="7"/>
  </w:num>
  <w:num w:numId="7">
    <w:abstractNumId w:val="1"/>
  </w:num>
  <w:num w:numId="8">
    <w:abstractNumId w:val="11"/>
  </w:num>
  <w:num w:numId="9">
    <w:abstractNumId w:val="3"/>
  </w:num>
  <w:num w:numId="10">
    <w:abstractNumId w:val="4"/>
  </w:num>
  <w:num w:numId="11">
    <w:abstractNumId w:val="6"/>
  </w:num>
  <w:num w:numId="12">
    <w:abstractNumId w:val="9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0ADB"/>
    <w:rsid w:val="00051017"/>
    <w:rsid w:val="00075B99"/>
    <w:rsid w:val="000C4527"/>
    <w:rsid w:val="000E10C6"/>
    <w:rsid w:val="001013D3"/>
    <w:rsid w:val="0012519A"/>
    <w:rsid w:val="00134AD0"/>
    <w:rsid w:val="0014017F"/>
    <w:rsid w:val="00140B00"/>
    <w:rsid w:val="0014782F"/>
    <w:rsid w:val="0017103B"/>
    <w:rsid w:val="001B0ADB"/>
    <w:rsid w:val="001B28BE"/>
    <w:rsid w:val="00211BF9"/>
    <w:rsid w:val="002234FE"/>
    <w:rsid w:val="00277F01"/>
    <w:rsid w:val="0031024D"/>
    <w:rsid w:val="003362CD"/>
    <w:rsid w:val="0039172E"/>
    <w:rsid w:val="003B107D"/>
    <w:rsid w:val="005106FE"/>
    <w:rsid w:val="00560332"/>
    <w:rsid w:val="0056421D"/>
    <w:rsid w:val="005721AB"/>
    <w:rsid w:val="005A2860"/>
    <w:rsid w:val="005A365D"/>
    <w:rsid w:val="005A5A27"/>
    <w:rsid w:val="005D0B37"/>
    <w:rsid w:val="00675D45"/>
    <w:rsid w:val="006F2207"/>
    <w:rsid w:val="006F2D88"/>
    <w:rsid w:val="006F735F"/>
    <w:rsid w:val="007415B7"/>
    <w:rsid w:val="007653C0"/>
    <w:rsid w:val="007710A8"/>
    <w:rsid w:val="007740B5"/>
    <w:rsid w:val="00776BA4"/>
    <w:rsid w:val="00784A20"/>
    <w:rsid w:val="007A7951"/>
    <w:rsid w:val="007B65A4"/>
    <w:rsid w:val="00825B94"/>
    <w:rsid w:val="00833E9B"/>
    <w:rsid w:val="00844D7B"/>
    <w:rsid w:val="008B3A05"/>
    <w:rsid w:val="008D060A"/>
    <w:rsid w:val="008D5B89"/>
    <w:rsid w:val="009038D4"/>
    <w:rsid w:val="00974685"/>
    <w:rsid w:val="00A620CF"/>
    <w:rsid w:val="00AC7C65"/>
    <w:rsid w:val="00B50328"/>
    <w:rsid w:val="00B90C35"/>
    <w:rsid w:val="00BA16BA"/>
    <w:rsid w:val="00C90939"/>
    <w:rsid w:val="00CA42EF"/>
    <w:rsid w:val="00CA7105"/>
    <w:rsid w:val="00CD437A"/>
    <w:rsid w:val="00D1294B"/>
    <w:rsid w:val="00D23A75"/>
    <w:rsid w:val="00D6072B"/>
    <w:rsid w:val="00D76213"/>
    <w:rsid w:val="00D81C4C"/>
    <w:rsid w:val="00DE3DD6"/>
    <w:rsid w:val="00DF2E45"/>
    <w:rsid w:val="00E33D3D"/>
    <w:rsid w:val="00E47762"/>
    <w:rsid w:val="00E5059E"/>
    <w:rsid w:val="00E53D38"/>
    <w:rsid w:val="00EB56BC"/>
    <w:rsid w:val="00ED3658"/>
    <w:rsid w:val="00F332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0ADB"/>
    <w:pPr>
      <w:spacing w:after="200" w:line="276" w:lineRule="auto"/>
    </w:pPr>
    <w:rPr>
      <w:rFonts w:eastAsia="Times New Roman" w:cs="Calibri"/>
    </w:rPr>
  </w:style>
  <w:style w:type="paragraph" w:styleId="Heading4">
    <w:name w:val="heading 4"/>
    <w:basedOn w:val="Normal"/>
    <w:next w:val="Normal"/>
    <w:link w:val="Heading4Char"/>
    <w:uiPriority w:val="99"/>
    <w:qFormat/>
    <w:rsid w:val="001B0ADB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9"/>
    <w:locked/>
    <w:rsid w:val="001B0ADB"/>
    <w:rPr>
      <w:rFonts w:ascii="Calibri" w:hAnsi="Calibri" w:cs="Calibri"/>
      <w:b/>
      <w:bCs/>
      <w:sz w:val="28"/>
      <w:szCs w:val="28"/>
      <w:lang w:eastAsia="ru-RU"/>
    </w:rPr>
  </w:style>
  <w:style w:type="paragraph" w:styleId="BodyTextIndent">
    <w:name w:val="Body Text Indent"/>
    <w:basedOn w:val="Normal"/>
    <w:link w:val="BodyTextIndentChar"/>
    <w:uiPriority w:val="99"/>
    <w:rsid w:val="001B0AD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1B0ADB"/>
    <w:rPr>
      <w:rFonts w:ascii="Calibri" w:hAnsi="Calibri" w:cs="Calibri"/>
      <w:lang w:eastAsia="ru-RU"/>
    </w:rPr>
  </w:style>
  <w:style w:type="paragraph" w:styleId="Title">
    <w:name w:val="Title"/>
    <w:basedOn w:val="Normal"/>
    <w:link w:val="TitleChar"/>
    <w:uiPriority w:val="99"/>
    <w:qFormat/>
    <w:rsid w:val="001B0ADB"/>
    <w:pPr>
      <w:spacing w:after="0" w:line="360" w:lineRule="auto"/>
      <w:jc w:val="center"/>
    </w:pPr>
    <w:rPr>
      <w:rFonts w:ascii="Times New Roman" w:hAnsi="Times New Roman" w:cs="Times New Roman"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TableGrid">
    <w:name w:val="Table Grid"/>
    <w:basedOn w:val="TableNormal"/>
    <w:uiPriority w:val="99"/>
    <w:rsid w:val="001B0ADB"/>
    <w:rPr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1B0ADB"/>
    <w:pPr>
      <w:ind w:left="720"/>
    </w:pPr>
  </w:style>
  <w:style w:type="character" w:customStyle="1" w:styleId="apple-style-span">
    <w:name w:val="apple-style-span"/>
    <w:basedOn w:val="DefaultParagraphFont"/>
    <w:uiPriority w:val="99"/>
    <w:rsid w:val="001B0ADB"/>
    <w:rPr>
      <w:rFonts w:cs="Times New Roman"/>
    </w:rPr>
  </w:style>
  <w:style w:type="character" w:customStyle="1" w:styleId="apple-converted-space">
    <w:name w:val="apple-converted-space"/>
    <w:basedOn w:val="DefaultParagraphFont"/>
    <w:uiPriority w:val="99"/>
    <w:rsid w:val="001B0ADB"/>
    <w:rPr>
      <w:rFonts w:cs="Times New Roman"/>
    </w:rPr>
  </w:style>
  <w:style w:type="paragraph" w:styleId="NoSpacing">
    <w:name w:val="No Spacing"/>
    <w:uiPriority w:val="99"/>
    <w:qFormat/>
    <w:rsid w:val="00140B00"/>
    <w:rPr>
      <w:lang w:eastAsia="en-US"/>
    </w:rPr>
  </w:style>
  <w:style w:type="character" w:customStyle="1" w:styleId="fontstyle01">
    <w:name w:val="fontstyle01"/>
    <w:basedOn w:val="DefaultParagraphFont"/>
    <w:uiPriority w:val="99"/>
    <w:rsid w:val="00140B00"/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mzrb.bashmed.ru/content/view/1127/11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20</TotalTime>
  <Pages>5</Pages>
  <Words>1591</Words>
  <Characters>9069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Маргарита</cp:lastModifiedBy>
  <cp:revision>6</cp:revision>
  <cp:lastPrinted>2012-12-29T05:32:00Z</cp:lastPrinted>
  <dcterms:created xsi:type="dcterms:W3CDTF">2012-12-27T12:52:00Z</dcterms:created>
  <dcterms:modified xsi:type="dcterms:W3CDTF">2018-11-28T12:26:00Z</dcterms:modified>
</cp:coreProperties>
</file>